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1CB2" w14:textId="77777777" w:rsidR="008A22C6" w:rsidRPr="009D6B97" w:rsidRDefault="009D6B97" w:rsidP="009D6B97">
      <w:pPr>
        <w:ind w:hanging="709"/>
        <w:rPr>
          <w:rFonts w:asciiTheme="minorHAnsi" w:hAnsiTheme="minorHAnsi" w:cstheme="minorHAnsi"/>
          <w:sz w:val="28"/>
          <w:szCs w:val="28"/>
        </w:rPr>
      </w:pPr>
      <w:r w:rsidRPr="009D6B97">
        <w:rPr>
          <w:rFonts w:asciiTheme="minorHAnsi" w:hAnsiTheme="minorHAnsi" w:cstheme="minorHAnsi"/>
          <w:sz w:val="28"/>
          <w:szCs w:val="28"/>
        </w:rPr>
        <w:t>Finance &amp; Performance Scrutiny P</w:t>
      </w:r>
      <w:r w:rsidR="00176585">
        <w:rPr>
          <w:rFonts w:asciiTheme="minorHAnsi" w:hAnsiTheme="minorHAnsi" w:cstheme="minorHAnsi"/>
          <w:sz w:val="28"/>
          <w:szCs w:val="28"/>
        </w:rPr>
        <w:t xml:space="preserve">anel – KPI Performance report </w:t>
      </w:r>
      <w:r w:rsidR="0067307A">
        <w:rPr>
          <w:rFonts w:asciiTheme="minorHAnsi" w:hAnsiTheme="minorHAnsi" w:cstheme="minorHAnsi"/>
          <w:sz w:val="28"/>
          <w:szCs w:val="28"/>
        </w:rPr>
        <w:t>D</w:t>
      </w:r>
      <w:r w:rsidR="006545AE">
        <w:rPr>
          <w:rFonts w:asciiTheme="minorHAnsi" w:hAnsiTheme="minorHAnsi" w:cstheme="minorHAnsi"/>
          <w:sz w:val="28"/>
          <w:szCs w:val="28"/>
        </w:rPr>
        <w:t>ecember</w:t>
      </w:r>
      <w:r w:rsidR="00981E01">
        <w:rPr>
          <w:rFonts w:asciiTheme="minorHAnsi" w:hAnsiTheme="minorHAnsi" w:cstheme="minorHAnsi"/>
          <w:sz w:val="28"/>
          <w:szCs w:val="28"/>
        </w:rPr>
        <w:t xml:space="preserve"> 20</w:t>
      </w:r>
      <w:r w:rsidRPr="009D6B97">
        <w:rPr>
          <w:rFonts w:asciiTheme="minorHAnsi" w:hAnsiTheme="minorHAnsi" w:cstheme="minorHAnsi"/>
          <w:sz w:val="28"/>
          <w:szCs w:val="28"/>
        </w:rPr>
        <w:t>23</w:t>
      </w:r>
    </w:p>
    <w:p w14:paraId="409B1CB3" w14:textId="77777777" w:rsidR="009D6B97" w:rsidRDefault="009D6B97" w:rsidP="008A22C6"/>
    <w:tbl>
      <w:tblPr>
        <w:tblW w:w="15836" w:type="dxa"/>
        <w:tblInd w:w="-601" w:type="dxa"/>
        <w:tblLook w:val="04A0" w:firstRow="1" w:lastRow="0" w:firstColumn="1" w:lastColumn="0" w:noHBand="0" w:noVBand="1"/>
      </w:tblPr>
      <w:tblGrid>
        <w:gridCol w:w="1276"/>
        <w:gridCol w:w="3119"/>
        <w:gridCol w:w="1276"/>
        <w:gridCol w:w="1218"/>
        <w:gridCol w:w="1218"/>
        <w:gridCol w:w="1350"/>
        <w:gridCol w:w="6379"/>
      </w:tblGrid>
      <w:tr w:rsidR="004E07FE" w:rsidRPr="009D6B97" w14:paraId="409B1CBC" w14:textId="77777777" w:rsidTr="00CE6277">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14:paraId="409B1CB4"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14:paraId="409B1CB5"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14:paraId="409B1CB6"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18"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409B1CB7" w14:textId="77777777" w:rsidR="004E07FE" w:rsidRDefault="004E07FE"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w:t>
            </w:r>
            <w:r w:rsidR="00981E01">
              <w:rPr>
                <w:rFonts w:ascii="Calibri" w:eastAsia="Times New Roman" w:hAnsi="Calibri" w:cs="Calibri"/>
                <w:b/>
                <w:bCs/>
                <w:sz w:val="22"/>
                <w:szCs w:val="22"/>
                <w:lang w:eastAsia="en-GB"/>
              </w:rPr>
              <w:t>23/24</w:t>
            </w:r>
          </w:p>
          <w:p w14:paraId="409B1CB8" w14:textId="77777777" w:rsidR="00981E01" w:rsidRPr="009D6B97" w:rsidRDefault="00981E01"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Target</w:t>
            </w:r>
          </w:p>
        </w:tc>
        <w:tc>
          <w:tcPr>
            <w:tcW w:w="1218" w:type="dxa"/>
            <w:tcBorders>
              <w:top w:val="single" w:sz="8" w:space="0" w:color="auto"/>
              <w:left w:val="nil"/>
              <w:bottom w:val="single" w:sz="8" w:space="0" w:color="auto"/>
              <w:right w:val="nil"/>
            </w:tcBorders>
            <w:shd w:val="clear" w:color="auto" w:fill="00B0F0"/>
            <w:vAlign w:val="bottom"/>
            <w:hideMark/>
          </w:tcPr>
          <w:p w14:paraId="409B1CB9" w14:textId="77777777" w:rsidR="004E07FE" w:rsidRPr="009D6B97" w:rsidRDefault="0067307A"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Dec</w:t>
            </w:r>
            <w:r w:rsidR="00981E01">
              <w:rPr>
                <w:rFonts w:ascii="Calibri" w:eastAsia="Times New Roman" w:hAnsi="Calibri" w:cs="Calibri"/>
                <w:b/>
                <w:bCs/>
                <w:sz w:val="22"/>
                <w:szCs w:val="22"/>
                <w:lang w:eastAsia="en-GB"/>
              </w:rPr>
              <w:t xml:space="preserve"> 23 </w:t>
            </w:r>
            <w:r w:rsidR="004E07FE" w:rsidRPr="009D6B97">
              <w:rPr>
                <w:rFonts w:ascii="Calibri" w:eastAsia="Times New Roman" w:hAnsi="Calibri" w:cs="Calibri"/>
                <w:b/>
                <w:bCs/>
                <w:sz w:val="22"/>
                <w:szCs w:val="22"/>
                <w:lang w:eastAsia="en-GB"/>
              </w:rPr>
              <w:t>Target</w:t>
            </w:r>
          </w:p>
        </w:tc>
        <w:tc>
          <w:tcPr>
            <w:tcW w:w="1350"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409B1CBA" w14:textId="77777777" w:rsidR="004E07FE" w:rsidRPr="009D6B97" w:rsidRDefault="0067307A"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Dec</w:t>
            </w:r>
            <w:r w:rsidR="004E07FE">
              <w:rPr>
                <w:rFonts w:ascii="Calibri" w:eastAsia="Times New Roman" w:hAnsi="Calibri" w:cs="Calibri"/>
                <w:b/>
                <w:bCs/>
                <w:sz w:val="22"/>
                <w:szCs w:val="22"/>
                <w:lang w:eastAsia="en-GB"/>
              </w:rPr>
              <w:t xml:space="preserve"> 23 </w:t>
            </w:r>
            <w:r w:rsidR="004E07FE"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14:paraId="409B1CBB" w14:textId="77777777"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4E07FE" w:rsidRPr="009D6B97" w14:paraId="409B1CC4" w14:textId="77777777" w:rsidTr="003B12E7">
        <w:trPr>
          <w:trHeight w:val="580"/>
        </w:trPr>
        <w:tc>
          <w:tcPr>
            <w:tcW w:w="1276" w:type="dxa"/>
            <w:tcBorders>
              <w:top w:val="nil"/>
              <w:left w:val="single" w:sz="8" w:space="0" w:color="auto"/>
              <w:bottom w:val="single" w:sz="4" w:space="0" w:color="auto"/>
              <w:right w:val="nil"/>
            </w:tcBorders>
            <w:shd w:val="clear" w:color="auto" w:fill="auto"/>
            <w:noWrap/>
            <w:hideMark/>
          </w:tcPr>
          <w:p w14:paraId="409B1CBD" w14:textId="77777777"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14:paraId="409B1CBE" w14:textId="77777777"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14:paraId="409B1CBF" w14:textId="77777777"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Helen Bishop</w:t>
            </w:r>
          </w:p>
        </w:tc>
        <w:tc>
          <w:tcPr>
            <w:tcW w:w="1218" w:type="dxa"/>
            <w:tcBorders>
              <w:top w:val="nil"/>
              <w:left w:val="single" w:sz="8" w:space="0" w:color="auto"/>
              <w:bottom w:val="single" w:sz="4" w:space="0" w:color="auto"/>
              <w:right w:val="single" w:sz="8" w:space="0" w:color="auto"/>
            </w:tcBorders>
            <w:shd w:val="clear" w:color="auto" w:fill="BFBFBF" w:themeFill="background1" w:themeFillShade="BF"/>
            <w:hideMark/>
          </w:tcPr>
          <w:p w14:paraId="409B1CC0" w14:textId="77777777" w:rsidR="004E07FE" w:rsidRPr="00B34F03" w:rsidRDefault="004E07FE" w:rsidP="004E07FE">
            <w:pPr>
              <w:jc w:val="center"/>
              <w:rPr>
                <w:rFonts w:ascii="Calibri" w:eastAsia="Times New Roman" w:hAnsi="Calibri" w:cs="Calibri"/>
                <w:sz w:val="22"/>
                <w:szCs w:val="22"/>
                <w:lang w:eastAsia="en-GB"/>
              </w:rPr>
            </w:pPr>
          </w:p>
        </w:tc>
        <w:tc>
          <w:tcPr>
            <w:tcW w:w="1218" w:type="dxa"/>
            <w:tcBorders>
              <w:top w:val="nil"/>
              <w:left w:val="nil"/>
              <w:bottom w:val="single" w:sz="4" w:space="0" w:color="auto"/>
              <w:right w:val="nil"/>
            </w:tcBorders>
            <w:shd w:val="clear" w:color="auto" w:fill="BFBFBF" w:themeFill="background1" w:themeFillShade="BF"/>
            <w:hideMark/>
          </w:tcPr>
          <w:p w14:paraId="409B1CC1" w14:textId="77777777" w:rsidR="004E07FE" w:rsidRPr="00B34F03" w:rsidRDefault="004E07FE" w:rsidP="004E07F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 </w:t>
            </w:r>
          </w:p>
        </w:tc>
        <w:tc>
          <w:tcPr>
            <w:tcW w:w="1350" w:type="dxa"/>
            <w:tcBorders>
              <w:top w:val="nil"/>
              <w:left w:val="single" w:sz="8" w:space="0" w:color="auto"/>
              <w:bottom w:val="single" w:sz="4" w:space="0" w:color="auto"/>
              <w:right w:val="single" w:sz="8" w:space="0" w:color="auto"/>
            </w:tcBorders>
            <w:shd w:val="clear" w:color="auto" w:fill="auto"/>
            <w:hideMark/>
          </w:tcPr>
          <w:p w14:paraId="409B1CC2" w14:textId="77777777" w:rsidR="004E07FE" w:rsidRPr="009D6B97" w:rsidRDefault="00F702C3" w:rsidP="004E07F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13.22</w:t>
            </w:r>
            <w:r w:rsidR="001D4EA1">
              <w:rPr>
                <w:rFonts w:ascii="Calibri" w:eastAsia="Times New Roman" w:hAnsi="Calibri" w:cs="Calibri"/>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14:paraId="409B1CC3" w14:textId="77777777" w:rsidR="004E07FE" w:rsidRPr="009D6B97" w:rsidRDefault="004E07FE" w:rsidP="004E07FE">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409B1CCE" w14:textId="77777777" w:rsidTr="00C14CED">
        <w:trPr>
          <w:trHeight w:val="290"/>
        </w:trPr>
        <w:tc>
          <w:tcPr>
            <w:tcW w:w="1276" w:type="dxa"/>
            <w:tcBorders>
              <w:top w:val="nil"/>
              <w:left w:val="single" w:sz="8" w:space="0" w:color="auto"/>
              <w:bottom w:val="single" w:sz="4" w:space="0" w:color="auto"/>
              <w:right w:val="nil"/>
            </w:tcBorders>
            <w:shd w:val="clear" w:color="auto" w:fill="auto"/>
            <w:noWrap/>
            <w:hideMark/>
          </w:tcPr>
          <w:p w14:paraId="409B1CC5" w14:textId="77777777"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CH001</w:t>
            </w:r>
          </w:p>
          <w:p w14:paraId="409B1CC6" w14:textId="77777777" w:rsidR="009D6B97" w:rsidRPr="004E1E46"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14:paraId="409B1CC7" w14:textId="77777777"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14:paraId="409B1CC8" w14:textId="77777777"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Gail Malkin</w:t>
            </w:r>
          </w:p>
        </w:tc>
        <w:tc>
          <w:tcPr>
            <w:tcW w:w="1218" w:type="dxa"/>
            <w:tcBorders>
              <w:top w:val="nil"/>
              <w:left w:val="single" w:sz="8" w:space="0" w:color="auto"/>
              <w:bottom w:val="single" w:sz="4" w:space="0" w:color="auto"/>
              <w:right w:val="single" w:sz="8" w:space="0" w:color="auto"/>
            </w:tcBorders>
            <w:shd w:val="clear" w:color="auto" w:fill="auto"/>
            <w:hideMark/>
          </w:tcPr>
          <w:p w14:paraId="409B1CC9" w14:textId="77777777" w:rsidR="00CD3554" w:rsidRPr="004E1E46" w:rsidRDefault="00DD0D0B" w:rsidP="00981E01">
            <w:pPr>
              <w:spacing w:line="360" w:lineRule="auto"/>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 days</w:t>
            </w:r>
          </w:p>
          <w:p w14:paraId="409B1CCA" w14:textId="77777777" w:rsidR="009D6B97" w:rsidRPr="004E1E46" w:rsidRDefault="009D6B97" w:rsidP="00CD3554">
            <w:pPr>
              <w:jc w:val="center"/>
              <w:rPr>
                <w:rFonts w:ascii="Calibri" w:eastAsia="Times New Roman" w:hAnsi="Calibri" w:cs="Calibri"/>
                <w:sz w:val="22"/>
                <w:szCs w:val="22"/>
                <w:lang w:eastAsia="en-GB"/>
              </w:rPr>
            </w:pPr>
          </w:p>
        </w:tc>
        <w:tc>
          <w:tcPr>
            <w:tcW w:w="1218" w:type="dxa"/>
            <w:tcBorders>
              <w:top w:val="nil"/>
              <w:left w:val="nil"/>
              <w:bottom w:val="single" w:sz="4" w:space="0" w:color="auto"/>
              <w:right w:val="nil"/>
            </w:tcBorders>
            <w:shd w:val="clear" w:color="auto" w:fill="auto"/>
          </w:tcPr>
          <w:p w14:paraId="409B1CCB" w14:textId="77777777" w:rsidR="009D6B97" w:rsidRPr="004E1E46" w:rsidRDefault="00D7072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w:t>
            </w:r>
          </w:p>
        </w:tc>
        <w:tc>
          <w:tcPr>
            <w:tcW w:w="1350" w:type="dxa"/>
            <w:tcBorders>
              <w:top w:val="nil"/>
              <w:left w:val="single" w:sz="8" w:space="0" w:color="auto"/>
              <w:bottom w:val="single" w:sz="4" w:space="0" w:color="auto"/>
              <w:right w:val="single" w:sz="8" w:space="0" w:color="auto"/>
            </w:tcBorders>
            <w:shd w:val="clear" w:color="auto" w:fill="00B050"/>
          </w:tcPr>
          <w:p w14:paraId="409B1CCC" w14:textId="77777777" w:rsidR="009D6B97" w:rsidRPr="009D6B97" w:rsidRDefault="00F702C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6.53</w:t>
            </w:r>
          </w:p>
        </w:tc>
        <w:tc>
          <w:tcPr>
            <w:tcW w:w="6379" w:type="dxa"/>
            <w:tcBorders>
              <w:top w:val="nil"/>
              <w:left w:val="nil"/>
              <w:bottom w:val="single" w:sz="4" w:space="0" w:color="auto"/>
              <w:right w:val="single" w:sz="8" w:space="0" w:color="auto"/>
            </w:tcBorders>
            <w:shd w:val="clear" w:color="auto" w:fill="auto"/>
            <w:hideMark/>
          </w:tcPr>
          <w:p w14:paraId="409B1CC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409B1CD6" w14:textId="77777777" w:rsidTr="00C14CED">
        <w:trPr>
          <w:trHeight w:val="2211"/>
        </w:trPr>
        <w:tc>
          <w:tcPr>
            <w:tcW w:w="1276" w:type="dxa"/>
            <w:tcBorders>
              <w:top w:val="nil"/>
              <w:left w:val="single" w:sz="8" w:space="0" w:color="auto"/>
              <w:bottom w:val="single" w:sz="4" w:space="0" w:color="auto"/>
              <w:right w:val="nil"/>
            </w:tcBorders>
            <w:shd w:val="clear" w:color="auto" w:fill="auto"/>
            <w:noWrap/>
            <w:hideMark/>
          </w:tcPr>
          <w:p w14:paraId="409B1CC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14:paraId="409B1CD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14:paraId="409B1CD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18" w:type="dxa"/>
            <w:tcBorders>
              <w:top w:val="nil"/>
              <w:left w:val="single" w:sz="8" w:space="0" w:color="auto"/>
              <w:bottom w:val="single" w:sz="4" w:space="0" w:color="auto"/>
              <w:right w:val="single" w:sz="8" w:space="0" w:color="auto"/>
            </w:tcBorders>
            <w:shd w:val="clear" w:color="auto" w:fill="auto"/>
            <w:hideMark/>
          </w:tcPr>
          <w:p w14:paraId="409B1CD2" w14:textId="77777777" w:rsidR="009D6B97" w:rsidRPr="009D6B97" w:rsidRDefault="002A09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218" w:type="dxa"/>
            <w:tcBorders>
              <w:top w:val="nil"/>
              <w:left w:val="nil"/>
              <w:bottom w:val="single" w:sz="4" w:space="0" w:color="auto"/>
              <w:right w:val="nil"/>
            </w:tcBorders>
            <w:shd w:val="clear" w:color="auto" w:fill="auto"/>
          </w:tcPr>
          <w:p w14:paraId="409B1CD3" w14:textId="77777777" w:rsidR="009D6B97" w:rsidRPr="009D6B97" w:rsidRDefault="00C1271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350" w:type="dxa"/>
            <w:tcBorders>
              <w:top w:val="nil"/>
              <w:left w:val="single" w:sz="8" w:space="0" w:color="auto"/>
              <w:bottom w:val="single" w:sz="4" w:space="0" w:color="auto"/>
              <w:right w:val="single" w:sz="8" w:space="0" w:color="auto"/>
            </w:tcBorders>
            <w:shd w:val="clear" w:color="auto" w:fill="FFC000"/>
            <w:noWrap/>
          </w:tcPr>
          <w:p w14:paraId="409B1CD4" w14:textId="77777777" w:rsidR="009D6B97" w:rsidRPr="009D6B97" w:rsidRDefault="006545A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86.7</w:t>
            </w:r>
            <w:r w:rsidR="00C12713">
              <w:rPr>
                <w:rFonts w:ascii="Calibri" w:eastAsia="Times New Roman" w:hAnsi="Calibri" w:cs="Calibri"/>
                <w:sz w:val="22"/>
                <w:szCs w:val="22"/>
                <w:lang w:eastAsia="en-GB"/>
              </w:rPr>
              <w:t>%</w:t>
            </w:r>
          </w:p>
        </w:tc>
        <w:tc>
          <w:tcPr>
            <w:tcW w:w="6379" w:type="dxa"/>
            <w:tcBorders>
              <w:top w:val="nil"/>
              <w:left w:val="nil"/>
              <w:bottom w:val="single" w:sz="4" w:space="0" w:color="auto"/>
              <w:right w:val="single" w:sz="8" w:space="0" w:color="auto"/>
            </w:tcBorders>
            <w:shd w:val="clear" w:color="auto" w:fill="auto"/>
          </w:tcPr>
          <w:p w14:paraId="409B1CD5" w14:textId="77777777" w:rsidR="009D6B97" w:rsidRPr="009D6B97" w:rsidRDefault="006545AE" w:rsidP="00C12713">
            <w:pPr>
              <w:rPr>
                <w:rFonts w:ascii="Calibri" w:eastAsia="Times New Roman" w:hAnsi="Calibri" w:cs="Calibri"/>
                <w:sz w:val="22"/>
                <w:szCs w:val="22"/>
                <w:lang w:eastAsia="en-GB"/>
              </w:rPr>
            </w:pPr>
            <w:r w:rsidRPr="006545AE">
              <w:rPr>
                <w:rFonts w:ascii="Calibri" w:eastAsia="Times New Roman" w:hAnsi="Calibri" w:cs="Calibri"/>
                <w:sz w:val="22"/>
                <w:szCs w:val="22"/>
                <w:lang w:eastAsia="en-GB"/>
              </w:rPr>
              <w:t>A very good month in December where we saw the best performance YTD and the average wait time to get through to an officer drop to just 79 seconds. We also managed the Christmas period extremely well allowing 50 days holiday to be taken in the post-Christmas week</w:t>
            </w:r>
            <w:r w:rsidR="00BE5909">
              <w:rPr>
                <w:rFonts w:ascii="Calibri" w:eastAsia="Times New Roman" w:hAnsi="Calibri" w:cs="Calibri"/>
                <w:sz w:val="22"/>
                <w:szCs w:val="22"/>
                <w:lang w:eastAsia="en-GB"/>
              </w:rPr>
              <w:t>.</w:t>
            </w:r>
          </w:p>
        </w:tc>
      </w:tr>
      <w:tr w:rsidR="009D6B97" w:rsidRPr="009D6B97" w14:paraId="409B1CDE" w14:textId="77777777" w:rsidTr="00C14CED">
        <w:trPr>
          <w:trHeight w:val="1450"/>
        </w:trPr>
        <w:tc>
          <w:tcPr>
            <w:tcW w:w="1276" w:type="dxa"/>
            <w:tcBorders>
              <w:top w:val="nil"/>
              <w:left w:val="single" w:sz="8" w:space="0" w:color="auto"/>
              <w:bottom w:val="single" w:sz="4" w:space="0" w:color="auto"/>
              <w:right w:val="nil"/>
            </w:tcBorders>
            <w:shd w:val="clear" w:color="auto" w:fill="auto"/>
            <w:noWrap/>
            <w:hideMark/>
          </w:tcPr>
          <w:p w14:paraId="409B1CD7" w14:textId="77777777" w:rsidR="009D6B97" w:rsidRPr="009D6B97" w:rsidRDefault="00233353"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FSC003</w:t>
            </w:r>
          </w:p>
        </w:tc>
        <w:tc>
          <w:tcPr>
            <w:tcW w:w="3119" w:type="dxa"/>
            <w:tcBorders>
              <w:top w:val="nil"/>
              <w:left w:val="single" w:sz="8" w:space="0" w:color="auto"/>
              <w:bottom w:val="single" w:sz="4" w:space="0" w:color="auto"/>
              <w:right w:val="single" w:sz="8" w:space="0" w:color="auto"/>
            </w:tcBorders>
            <w:shd w:val="clear" w:color="auto" w:fill="auto"/>
            <w:hideMark/>
          </w:tcPr>
          <w:p w14:paraId="409B1CD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Council spend with local business (excluding ODS and OCHL)</w:t>
            </w:r>
          </w:p>
        </w:tc>
        <w:tc>
          <w:tcPr>
            <w:tcW w:w="1276" w:type="dxa"/>
            <w:tcBorders>
              <w:top w:val="nil"/>
              <w:left w:val="nil"/>
              <w:bottom w:val="single" w:sz="4" w:space="0" w:color="auto"/>
              <w:right w:val="nil"/>
            </w:tcBorders>
            <w:shd w:val="clear" w:color="auto" w:fill="auto"/>
            <w:hideMark/>
          </w:tcPr>
          <w:p w14:paraId="409B1CD9" w14:textId="77777777" w:rsidR="009D6B97" w:rsidRPr="009D6B97" w:rsidRDefault="00233353"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hideMark/>
          </w:tcPr>
          <w:p w14:paraId="409B1CDA" w14:textId="77777777" w:rsidR="009D6B97" w:rsidRPr="009D6B97" w:rsidRDefault="009D34F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w:t>
            </w:r>
            <w:r w:rsidR="00CD3554">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tcPr>
          <w:p w14:paraId="409B1CDB" w14:textId="77777777" w:rsidR="009D6B97" w:rsidRPr="009D6B97" w:rsidRDefault="0023335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w:t>
            </w:r>
          </w:p>
        </w:tc>
        <w:tc>
          <w:tcPr>
            <w:tcW w:w="1350" w:type="dxa"/>
            <w:tcBorders>
              <w:top w:val="nil"/>
              <w:left w:val="single" w:sz="8" w:space="0" w:color="auto"/>
              <w:bottom w:val="single" w:sz="4" w:space="0" w:color="auto"/>
              <w:right w:val="single" w:sz="8" w:space="0" w:color="auto"/>
            </w:tcBorders>
            <w:shd w:val="clear" w:color="auto" w:fill="FF0000"/>
          </w:tcPr>
          <w:p w14:paraId="409B1CDC" w14:textId="77777777" w:rsidR="009D6B97" w:rsidRPr="009D6B97" w:rsidRDefault="00CB1069" w:rsidP="009D6B97">
            <w:pPr>
              <w:jc w:val="center"/>
              <w:rPr>
                <w:rFonts w:ascii="Calibri" w:eastAsia="Times New Roman" w:hAnsi="Calibri" w:cs="Calibri"/>
                <w:sz w:val="22"/>
                <w:szCs w:val="22"/>
                <w:lang w:eastAsia="en-GB"/>
              </w:rPr>
            </w:pPr>
            <w:r>
              <w:rPr>
                <w:rFonts w:ascii="Calibri" w:eastAsia="Times New Roman" w:hAnsi="Calibri" w:cs="Calibri"/>
                <w:color w:val="FFFFFF" w:themeColor="background1"/>
                <w:sz w:val="22"/>
                <w:szCs w:val="22"/>
                <w:lang w:eastAsia="en-GB"/>
              </w:rPr>
              <w:t>25.67</w:t>
            </w:r>
            <w:r w:rsidR="00233353" w:rsidRPr="006363B1">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tcPr>
          <w:p w14:paraId="409B1CDD" w14:textId="02C35E6C" w:rsidR="009D6B97" w:rsidRPr="009D6B97" w:rsidRDefault="00A164B5"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Large p</w:t>
            </w:r>
            <w:r w:rsidR="00CA7AAD" w:rsidRPr="00CA7AAD">
              <w:rPr>
                <w:rFonts w:ascii="Calibri" w:eastAsia="Times New Roman" w:hAnsi="Calibri" w:cs="Calibri"/>
                <w:sz w:val="22"/>
                <w:szCs w:val="22"/>
                <w:lang w:eastAsia="en-GB"/>
              </w:rPr>
              <w:t>ayment made to NPower £1.4m who are not a local supplier has impacted this month reducing the % to 17.80%</w:t>
            </w:r>
            <w:r w:rsidR="00CA7AAD">
              <w:rPr>
                <w:rStyle w:val="eop"/>
                <w:color w:val="000000"/>
                <w:sz w:val="20"/>
                <w:szCs w:val="20"/>
                <w:shd w:val="clear" w:color="auto" w:fill="FFFFFF"/>
              </w:rPr>
              <w:t> </w:t>
            </w:r>
          </w:p>
        </w:tc>
      </w:tr>
      <w:tr w:rsidR="009D6B97" w:rsidRPr="009D6B97" w14:paraId="409B1CE6" w14:textId="77777777" w:rsidTr="006363B1">
        <w:trPr>
          <w:trHeight w:val="870"/>
        </w:trPr>
        <w:tc>
          <w:tcPr>
            <w:tcW w:w="1276" w:type="dxa"/>
            <w:tcBorders>
              <w:top w:val="nil"/>
              <w:left w:val="single" w:sz="8" w:space="0" w:color="auto"/>
              <w:bottom w:val="single" w:sz="4" w:space="0" w:color="auto"/>
              <w:right w:val="nil"/>
            </w:tcBorders>
            <w:shd w:val="clear" w:color="auto" w:fill="auto"/>
            <w:noWrap/>
            <w:hideMark/>
          </w:tcPr>
          <w:p w14:paraId="409B1CD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14:paraId="409B1CE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14:paraId="409B1CE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18" w:type="dxa"/>
            <w:tcBorders>
              <w:top w:val="nil"/>
              <w:left w:val="single" w:sz="8" w:space="0" w:color="auto"/>
              <w:bottom w:val="single" w:sz="4" w:space="0" w:color="auto"/>
              <w:right w:val="single" w:sz="8" w:space="0" w:color="auto"/>
            </w:tcBorders>
            <w:shd w:val="clear" w:color="auto" w:fill="auto"/>
            <w:hideMark/>
          </w:tcPr>
          <w:p w14:paraId="409B1CE2"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w:t>
            </w:r>
          </w:p>
        </w:tc>
        <w:tc>
          <w:tcPr>
            <w:tcW w:w="1218" w:type="dxa"/>
            <w:tcBorders>
              <w:top w:val="nil"/>
              <w:left w:val="nil"/>
              <w:bottom w:val="single" w:sz="4" w:space="0" w:color="auto"/>
              <w:right w:val="nil"/>
            </w:tcBorders>
            <w:shd w:val="clear" w:color="auto" w:fill="auto"/>
          </w:tcPr>
          <w:p w14:paraId="409B1CE3" w14:textId="77777777" w:rsidR="009D6B97" w:rsidRPr="009D6B97" w:rsidRDefault="00233353"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w:t>
            </w:r>
          </w:p>
        </w:tc>
        <w:tc>
          <w:tcPr>
            <w:tcW w:w="1350" w:type="dxa"/>
            <w:tcBorders>
              <w:top w:val="nil"/>
              <w:left w:val="single" w:sz="8" w:space="0" w:color="auto"/>
              <w:bottom w:val="single" w:sz="4" w:space="0" w:color="auto"/>
              <w:right w:val="single" w:sz="8" w:space="0" w:color="auto"/>
            </w:tcBorders>
            <w:shd w:val="clear" w:color="auto" w:fill="00B050"/>
          </w:tcPr>
          <w:p w14:paraId="409B1CE4" w14:textId="77777777" w:rsidR="009D6B97" w:rsidRPr="00F54F2A" w:rsidRDefault="00CB1069" w:rsidP="009D6B97">
            <w:pPr>
              <w:jc w:val="center"/>
              <w:rPr>
                <w:rFonts w:ascii="Calibri" w:eastAsia="Times New Roman" w:hAnsi="Calibri" w:cs="Calibri"/>
                <w:color w:val="FFFFFF" w:themeColor="background1"/>
                <w:sz w:val="22"/>
                <w:szCs w:val="22"/>
                <w:lang w:eastAsia="en-GB"/>
              </w:rPr>
            </w:pPr>
            <w:r>
              <w:rPr>
                <w:rFonts w:ascii="Calibri" w:eastAsia="Times New Roman" w:hAnsi="Calibri" w:cs="Calibri"/>
                <w:sz w:val="22"/>
                <w:szCs w:val="22"/>
                <w:lang w:eastAsia="en-GB"/>
              </w:rPr>
              <w:t>58.06%</w:t>
            </w:r>
          </w:p>
        </w:tc>
        <w:tc>
          <w:tcPr>
            <w:tcW w:w="6379" w:type="dxa"/>
            <w:tcBorders>
              <w:top w:val="nil"/>
              <w:left w:val="nil"/>
              <w:bottom w:val="single" w:sz="4" w:space="0" w:color="auto"/>
              <w:right w:val="single" w:sz="8" w:space="0" w:color="auto"/>
            </w:tcBorders>
            <w:shd w:val="clear" w:color="auto" w:fill="auto"/>
          </w:tcPr>
          <w:p w14:paraId="409B1CE5"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409B1CEE" w14:textId="77777777" w:rsidTr="00CB1069">
        <w:trPr>
          <w:trHeight w:val="580"/>
        </w:trPr>
        <w:tc>
          <w:tcPr>
            <w:tcW w:w="1276" w:type="dxa"/>
            <w:tcBorders>
              <w:top w:val="nil"/>
              <w:left w:val="single" w:sz="8" w:space="0" w:color="auto"/>
              <w:bottom w:val="single" w:sz="4" w:space="0" w:color="auto"/>
              <w:right w:val="nil"/>
            </w:tcBorders>
            <w:shd w:val="clear" w:color="auto" w:fill="auto"/>
            <w:noWrap/>
            <w:hideMark/>
          </w:tcPr>
          <w:p w14:paraId="409B1CE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14:paraId="409B1CE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14:paraId="409B1CE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w:t>
            </w:r>
          </w:p>
        </w:tc>
        <w:tc>
          <w:tcPr>
            <w:tcW w:w="1218" w:type="dxa"/>
            <w:tcBorders>
              <w:top w:val="nil"/>
              <w:left w:val="single" w:sz="8" w:space="0" w:color="auto"/>
              <w:bottom w:val="single" w:sz="4" w:space="0" w:color="auto"/>
              <w:right w:val="single" w:sz="8" w:space="0" w:color="auto"/>
            </w:tcBorders>
            <w:shd w:val="clear" w:color="auto" w:fill="auto"/>
            <w:hideMark/>
          </w:tcPr>
          <w:p w14:paraId="409B1CEA" w14:textId="77777777" w:rsidR="009D6B97" w:rsidRPr="009D6B97" w:rsidRDefault="00F54F2A" w:rsidP="00203A7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00CD3554">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tcPr>
          <w:p w14:paraId="409B1CEB" w14:textId="77777777" w:rsidR="009D6B97" w:rsidRPr="009D6B97" w:rsidRDefault="00596351" w:rsidP="00596351">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350" w:type="dxa"/>
            <w:tcBorders>
              <w:top w:val="nil"/>
              <w:left w:val="single" w:sz="8" w:space="0" w:color="auto"/>
              <w:bottom w:val="single" w:sz="4" w:space="0" w:color="auto"/>
              <w:right w:val="single" w:sz="8" w:space="0" w:color="auto"/>
            </w:tcBorders>
            <w:shd w:val="clear" w:color="auto" w:fill="00B050"/>
          </w:tcPr>
          <w:p w14:paraId="409B1CEC" w14:textId="77777777" w:rsidR="009D6B97" w:rsidRPr="00F54F2A" w:rsidRDefault="00791657" w:rsidP="009D6B97">
            <w:pPr>
              <w:jc w:val="center"/>
              <w:rPr>
                <w:rFonts w:ascii="Calibri" w:eastAsia="Times New Roman" w:hAnsi="Calibri" w:cs="Calibri"/>
                <w:color w:val="FFFFFF" w:themeColor="background1"/>
                <w:sz w:val="22"/>
                <w:szCs w:val="22"/>
                <w:lang w:eastAsia="en-GB"/>
              </w:rPr>
            </w:pPr>
            <w:r w:rsidRPr="00791657">
              <w:rPr>
                <w:rFonts w:ascii="Calibri" w:eastAsia="Times New Roman" w:hAnsi="Calibri" w:cs="Calibri"/>
                <w:sz w:val="22"/>
                <w:szCs w:val="22"/>
                <w:lang w:eastAsia="en-GB"/>
              </w:rPr>
              <w:t>9</w:t>
            </w:r>
            <w:r w:rsidR="00CB1069">
              <w:rPr>
                <w:rFonts w:ascii="Calibri" w:eastAsia="Times New Roman" w:hAnsi="Calibri" w:cs="Calibri"/>
                <w:sz w:val="22"/>
                <w:szCs w:val="22"/>
                <w:lang w:eastAsia="en-GB"/>
              </w:rPr>
              <w:t>8.46</w:t>
            </w:r>
            <w:r>
              <w:rPr>
                <w:rFonts w:ascii="Calibri" w:eastAsia="Times New Roman" w:hAnsi="Calibri" w:cs="Calibri"/>
                <w:sz w:val="22"/>
                <w:szCs w:val="22"/>
                <w:lang w:eastAsia="en-GB"/>
              </w:rPr>
              <w:t>%</w:t>
            </w:r>
          </w:p>
        </w:tc>
        <w:tc>
          <w:tcPr>
            <w:tcW w:w="6379" w:type="dxa"/>
            <w:tcBorders>
              <w:top w:val="nil"/>
              <w:left w:val="nil"/>
              <w:bottom w:val="single" w:sz="4" w:space="0" w:color="auto"/>
              <w:right w:val="single" w:sz="8" w:space="0" w:color="auto"/>
            </w:tcBorders>
            <w:shd w:val="clear" w:color="auto" w:fill="auto"/>
          </w:tcPr>
          <w:p w14:paraId="409B1CED"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409B1CF7" w14:textId="77777777" w:rsidTr="00CC604C">
        <w:trPr>
          <w:trHeight w:val="580"/>
        </w:trPr>
        <w:tc>
          <w:tcPr>
            <w:tcW w:w="1276" w:type="dxa"/>
            <w:tcBorders>
              <w:top w:val="nil"/>
              <w:left w:val="single" w:sz="8" w:space="0" w:color="auto"/>
              <w:bottom w:val="single" w:sz="4" w:space="0" w:color="auto"/>
              <w:right w:val="nil"/>
            </w:tcBorders>
            <w:shd w:val="clear" w:color="auto" w:fill="auto"/>
            <w:noWrap/>
            <w:hideMark/>
          </w:tcPr>
          <w:p w14:paraId="409B1CE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14:paraId="409B1CF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14:paraId="409B1CF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409B1CF2"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tcPr>
          <w:p w14:paraId="409B1CF3" w14:textId="77777777" w:rsidR="009D6B97" w:rsidRPr="009D6B97" w:rsidRDefault="00CB106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 days</w:t>
            </w:r>
          </w:p>
        </w:tc>
        <w:tc>
          <w:tcPr>
            <w:tcW w:w="1350" w:type="dxa"/>
            <w:tcBorders>
              <w:top w:val="nil"/>
              <w:left w:val="single" w:sz="8" w:space="0" w:color="auto"/>
              <w:bottom w:val="single" w:sz="4" w:space="0" w:color="auto"/>
              <w:right w:val="single" w:sz="8" w:space="0" w:color="auto"/>
            </w:tcBorders>
            <w:shd w:val="clear" w:color="auto" w:fill="FF0000"/>
          </w:tcPr>
          <w:p w14:paraId="409B1CF4" w14:textId="77777777" w:rsidR="00CC604C" w:rsidRPr="00CC604C" w:rsidRDefault="00CC604C" w:rsidP="009D6B97">
            <w:pPr>
              <w:jc w:val="center"/>
              <w:rPr>
                <w:rFonts w:ascii="Calibri" w:eastAsia="Times New Roman" w:hAnsi="Calibri" w:cs="Calibri"/>
                <w:color w:val="FFFFFF" w:themeColor="background1"/>
                <w:sz w:val="22"/>
                <w:szCs w:val="22"/>
                <w:lang w:eastAsia="en-GB"/>
              </w:rPr>
            </w:pPr>
            <w:r w:rsidRPr="00CC604C">
              <w:rPr>
                <w:rFonts w:ascii="Calibri" w:eastAsia="Times New Roman" w:hAnsi="Calibri" w:cs="Calibri"/>
                <w:color w:val="FFFFFF" w:themeColor="background1"/>
                <w:sz w:val="22"/>
                <w:szCs w:val="22"/>
                <w:lang w:eastAsia="en-GB"/>
              </w:rPr>
              <w:t xml:space="preserve">YTD = </w:t>
            </w:r>
          </w:p>
          <w:p w14:paraId="409B1CF5" w14:textId="77777777" w:rsidR="009D6B97" w:rsidRPr="00CC604C" w:rsidRDefault="00CC604C" w:rsidP="009D6B97">
            <w:pPr>
              <w:jc w:val="center"/>
              <w:rPr>
                <w:rFonts w:ascii="Calibri" w:eastAsia="Times New Roman" w:hAnsi="Calibri" w:cs="Calibri"/>
                <w:color w:val="FFFFFF" w:themeColor="background1"/>
                <w:sz w:val="22"/>
                <w:szCs w:val="22"/>
                <w:lang w:eastAsia="en-GB"/>
              </w:rPr>
            </w:pPr>
            <w:r w:rsidRPr="00CC604C">
              <w:rPr>
                <w:rFonts w:ascii="Calibri" w:eastAsia="Times New Roman" w:hAnsi="Calibri" w:cs="Calibri"/>
                <w:color w:val="FFFFFF" w:themeColor="background1"/>
                <w:sz w:val="22"/>
                <w:szCs w:val="22"/>
                <w:lang w:eastAsia="en-GB"/>
              </w:rPr>
              <w:t>19 Days</w:t>
            </w:r>
          </w:p>
        </w:tc>
        <w:tc>
          <w:tcPr>
            <w:tcW w:w="6379" w:type="dxa"/>
            <w:tcBorders>
              <w:top w:val="nil"/>
              <w:left w:val="nil"/>
              <w:bottom w:val="single" w:sz="4" w:space="0" w:color="auto"/>
              <w:right w:val="single" w:sz="8" w:space="0" w:color="auto"/>
            </w:tcBorders>
            <w:shd w:val="clear" w:color="auto" w:fill="auto"/>
          </w:tcPr>
          <w:p w14:paraId="409B1CF6" w14:textId="77777777" w:rsidR="009D6B97" w:rsidRPr="009D6B97" w:rsidRDefault="00CC604C"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W</w:t>
            </w:r>
            <w:r w:rsidR="00CB1069">
              <w:rPr>
                <w:rFonts w:ascii="Calibri" w:eastAsia="Times New Roman" w:hAnsi="Calibri" w:cs="Calibri"/>
                <w:sz w:val="22"/>
                <w:szCs w:val="22"/>
                <w:lang w:eastAsia="en-GB"/>
              </w:rPr>
              <w:t>ithin target for December</w:t>
            </w:r>
            <w:r>
              <w:rPr>
                <w:rFonts w:ascii="Calibri" w:eastAsia="Times New Roman" w:hAnsi="Calibri" w:cs="Calibri"/>
                <w:sz w:val="22"/>
                <w:szCs w:val="22"/>
                <w:lang w:eastAsia="en-GB"/>
              </w:rPr>
              <w:t xml:space="preserve"> (11 Days)</w:t>
            </w:r>
          </w:p>
        </w:tc>
      </w:tr>
      <w:tr w:rsidR="009D6B97" w:rsidRPr="009D6B97" w14:paraId="409B1D00" w14:textId="77777777" w:rsidTr="00CB1069">
        <w:trPr>
          <w:trHeight w:val="580"/>
        </w:trPr>
        <w:tc>
          <w:tcPr>
            <w:tcW w:w="1276" w:type="dxa"/>
            <w:tcBorders>
              <w:top w:val="nil"/>
              <w:left w:val="single" w:sz="8" w:space="0" w:color="auto"/>
              <w:bottom w:val="single" w:sz="4" w:space="0" w:color="auto"/>
              <w:right w:val="nil"/>
            </w:tcBorders>
            <w:shd w:val="clear" w:color="auto" w:fill="auto"/>
            <w:noWrap/>
            <w:hideMark/>
          </w:tcPr>
          <w:p w14:paraId="409B1CF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14:paraId="409B1CF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14:paraId="409B1CF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409B1CFB"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tcPr>
          <w:p w14:paraId="409B1CFC" w14:textId="77777777" w:rsidR="009D6B97" w:rsidRPr="009D6B97" w:rsidRDefault="00CB106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 days</w:t>
            </w:r>
          </w:p>
        </w:tc>
        <w:tc>
          <w:tcPr>
            <w:tcW w:w="1350" w:type="dxa"/>
            <w:tcBorders>
              <w:top w:val="nil"/>
              <w:left w:val="single" w:sz="8" w:space="0" w:color="auto"/>
              <w:bottom w:val="single" w:sz="4" w:space="0" w:color="auto"/>
              <w:right w:val="single" w:sz="8" w:space="0" w:color="auto"/>
            </w:tcBorders>
            <w:shd w:val="clear" w:color="auto" w:fill="FF0000"/>
          </w:tcPr>
          <w:p w14:paraId="409B1CFD" w14:textId="77777777" w:rsidR="00CC604C" w:rsidRDefault="00CC604C" w:rsidP="00CC604C">
            <w:pPr>
              <w:jc w:val="center"/>
              <w:rPr>
                <w:rFonts w:ascii="Calibri" w:eastAsia="Times New Roman" w:hAnsi="Calibri" w:cs="Calibri"/>
                <w:color w:val="FFFFFF" w:themeColor="background1"/>
                <w:sz w:val="22"/>
                <w:szCs w:val="22"/>
                <w:lang w:eastAsia="en-GB"/>
              </w:rPr>
            </w:pPr>
            <w:r>
              <w:rPr>
                <w:rFonts w:ascii="Calibri" w:eastAsia="Times New Roman" w:hAnsi="Calibri" w:cs="Calibri"/>
                <w:color w:val="FFFFFF" w:themeColor="background1"/>
                <w:sz w:val="22"/>
                <w:szCs w:val="22"/>
                <w:lang w:eastAsia="en-GB"/>
              </w:rPr>
              <w:t>YTD =</w:t>
            </w:r>
          </w:p>
          <w:p w14:paraId="409B1CFE" w14:textId="77777777" w:rsidR="009D6B97" w:rsidRPr="00CB1069" w:rsidRDefault="00CC604C" w:rsidP="00CC604C">
            <w:pPr>
              <w:jc w:val="center"/>
              <w:rPr>
                <w:rFonts w:ascii="Calibri" w:eastAsia="Times New Roman" w:hAnsi="Calibri" w:cs="Calibri"/>
                <w:color w:val="FF0000"/>
                <w:sz w:val="22"/>
                <w:szCs w:val="22"/>
                <w:lang w:eastAsia="en-GB"/>
              </w:rPr>
            </w:pPr>
            <w:r>
              <w:rPr>
                <w:rFonts w:ascii="Calibri" w:eastAsia="Times New Roman" w:hAnsi="Calibri" w:cs="Calibri"/>
                <w:color w:val="FFFFFF" w:themeColor="background1"/>
                <w:sz w:val="22"/>
                <w:szCs w:val="22"/>
                <w:lang w:eastAsia="en-GB"/>
              </w:rPr>
              <w:t>17 Days</w:t>
            </w:r>
          </w:p>
        </w:tc>
        <w:tc>
          <w:tcPr>
            <w:tcW w:w="6379" w:type="dxa"/>
            <w:tcBorders>
              <w:top w:val="nil"/>
              <w:left w:val="nil"/>
              <w:bottom w:val="single" w:sz="4" w:space="0" w:color="auto"/>
              <w:right w:val="single" w:sz="8" w:space="0" w:color="auto"/>
            </w:tcBorders>
            <w:shd w:val="clear" w:color="auto" w:fill="auto"/>
          </w:tcPr>
          <w:p w14:paraId="409B1CFF"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409B1D08" w14:textId="77777777" w:rsidTr="00CC604C">
        <w:trPr>
          <w:trHeight w:val="580"/>
        </w:trPr>
        <w:tc>
          <w:tcPr>
            <w:tcW w:w="1276" w:type="dxa"/>
            <w:tcBorders>
              <w:top w:val="nil"/>
              <w:left w:val="single" w:sz="8" w:space="0" w:color="auto"/>
              <w:bottom w:val="single" w:sz="4" w:space="0" w:color="auto"/>
              <w:right w:val="nil"/>
            </w:tcBorders>
            <w:shd w:val="clear" w:color="auto" w:fill="auto"/>
            <w:noWrap/>
            <w:hideMark/>
          </w:tcPr>
          <w:p w14:paraId="409B1D0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FN008</w:t>
            </w:r>
          </w:p>
        </w:tc>
        <w:tc>
          <w:tcPr>
            <w:tcW w:w="3119" w:type="dxa"/>
            <w:tcBorders>
              <w:top w:val="nil"/>
              <w:left w:val="single" w:sz="8" w:space="0" w:color="auto"/>
              <w:bottom w:val="single" w:sz="4" w:space="0" w:color="auto"/>
              <w:right w:val="single" w:sz="8" w:space="0" w:color="auto"/>
            </w:tcBorders>
            <w:shd w:val="clear" w:color="auto" w:fill="auto"/>
            <w:hideMark/>
          </w:tcPr>
          <w:p w14:paraId="409B1D0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14:paraId="409B1D03"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18" w:type="dxa"/>
            <w:tcBorders>
              <w:top w:val="nil"/>
              <w:left w:val="single" w:sz="8" w:space="0" w:color="auto"/>
              <w:bottom w:val="single" w:sz="4" w:space="0" w:color="auto"/>
              <w:right w:val="single" w:sz="8" w:space="0" w:color="auto"/>
            </w:tcBorders>
            <w:shd w:val="clear" w:color="auto" w:fill="auto"/>
            <w:hideMark/>
          </w:tcPr>
          <w:p w14:paraId="409B1D04"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0.001</w:t>
            </w:r>
            <w:r w:rsidR="00CE6277">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tcPr>
          <w:p w14:paraId="409B1D05" w14:textId="77777777" w:rsidR="009D6B97" w:rsidRPr="009D6B97" w:rsidRDefault="006363B1"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0.001</w:t>
            </w:r>
            <w:r w:rsidR="00CC604C">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00B050"/>
          </w:tcPr>
          <w:p w14:paraId="409B1D06" w14:textId="77777777" w:rsidR="009D6B97" w:rsidRPr="009D6B97" w:rsidRDefault="00CC604C" w:rsidP="009D6B97">
            <w:pPr>
              <w:jc w:val="center"/>
              <w:rPr>
                <w:rFonts w:ascii="Calibri" w:eastAsia="Times New Roman" w:hAnsi="Calibri" w:cs="Calibri"/>
                <w:sz w:val="22"/>
                <w:szCs w:val="22"/>
                <w:lang w:eastAsia="en-GB"/>
              </w:rPr>
            </w:pPr>
            <w:r w:rsidRPr="00CC604C">
              <w:rPr>
                <w:rFonts w:ascii="Calibri" w:eastAsia="Times New Roman" w:hAnsi="Calibri" w:cs="Calibri"/>
                <w:color w:val="000000" w:themeColor="text1"/>
                <w:sz w:val="22"/>
                <w:szCs w:val="22"/>
                <w:lang w:eastAsia="en-GB"/>
              </w:rPr>
              <w:t>0.019</w:t>
            </w:r>
            <w:r>
              <w:rPr>
                <w:rFonts w:ascii="Calibri" w:eastAsia="Times New Roman" w:hAnsi="Calibri" w:cs="Calibri"/>
                <w:color w:val="000000" w:themeColor="text1"/>
                <w:sz w:val="22"/>
                <w:szCs w:val="22"/>
                <w:lang w:eastAsia="en-GB"/>
              </w:rPr>
              <w:t>%</w:t>
            </w:r>
          </w:p>
        </w:tc>
        <w:tc>
          <w:tcPr>
            <w:tcW w:w="6379" w:type="dxa"/>
            <w:tcBorders>
              <w:top w:val="nil"/>
              <w:left w:val="nil"/>
              <w:bottom w:val="single" w:sz="4" w:space="0" w:color="auto"/>
              <w:right w:val="single" w:sz="8" w:space="0" w:color="auto"/>
            </w:tcBorders>
            <w:shd w:val="clear" w:color="auto" w:fill="auto"/>
          </w:tcPr>
          <w:p w14:paraId="409B1D07" w14:textId="77777777" w:rsidR="009D6B97" w:rsidRPr="009D6B97" w:rsidRDefault="009D6B97" w:rsidP="00F54F2A">
            <w:pPr>
              <w:rPr>
                <w:rFonts w:ascii="Calibri" w:eastAsia="Times New Roman" w:hAnsi="Calibri" w:cs="Calibri"/>
                <w:sz w:val="22"/>
                <w:szCs w:val="22"/>
                <w:lang w:eastAsia="en-GB"/>
              </w:rPr>
            </w:pPr>
          </w:p>
        </w:tc>
      </w:tr>
      <w:tr w:rsidR="009D6B97" w:rsidRPr="009D6B97" w14:paraId="409B1D10" w14:textId="77777777" w:rsidTr="00CC604C">
        <w:trPr>
          <w:trHeight w:val="580"/>
        </w:trPr>
        <w:tc>
          <w:tcPr>
            <w:tcW w:w="1276" w:type="dxa"/>
            <w:tcBorders>
              <w:top w:val="nil"/>
              <w:left w:val="single" w:sz="8" w:space="0" w:color="auto"/>
              <w:bottom w:val="single" w:sz="4" w:space="0" w:color="auto"/>
              <w:right w:val="nil"/>
            </w:tcBorders>
            <w:shd w:val="clear" w:color="auto" w:fill="auto"/>
            <w:noWrap/>
            <w:hideMark/>
          </w:tcPr>
          <w:p w14:paraId="409B1D0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14:paraId="409B1D0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14:paraId="409B1D0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409B1D0C"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£220,000</w:t>
            </w:r>
          </w:p>
        </w:tc>
        <w:tc>
          <w:tcPr>
            <w:tcW w:w="1218" w:type="dxa"/>
            <w:tcBorders>
              <w:top w:val="nil"/>
              <w:left w:val="nil"/>
              <w:bottom w:val="single" w:sz="4" w:space="0" w:color="auto"/>
              <w:right w:val="nil"/>
            </w:tcBorders>
            <w:shd w:val="clear" w:color="auto" w:fill="auto"/>
          </w:tcPr>
          <w:p w14:paraId="409B1D0D" w14:textId="77777777" w:rsidR="009D6B97" w:rsidRPr="009D6B97" w:rsidRDefault="00CC604C"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CC604C">
              <w:rPr>
                <w:rFonts w:ascii="Calibri" w:eastAsia="Times New Roman" w:hAnsi="Calibri" w:cs="Calibri"/>
                <w:sz w:val="22"/>
                <w:szCs w:val="22"/>
                <w:lang w:eastAsia="en-GB"/>
              </w:rPr>
              <w:t>164</w:t>
            </w:r>
            <w:r>
              <w:rPr>
                <w:rFonts w:ascii="Calibri" w:eastAsia="Times New Roman" w:hAnsi="Calibri" w:cs="Calibri"/>
                <w:sz w:val="22"/>
                <w:szCs w:val="22"/>
                <w:lang w:eastAsia="en-GB"/>
              </w:rPr>
              <w:t>,</w:t>
            </w:r>
            <w:r w:rsidRPr="00CC604C">
              <w:rPr>
                <w:rFonts w:ascii="Calibri" w:eastAsia="Times New Roman" w:hAnsi="Calibri" w:cs="Calibri"/>
                <w:sz w:val="22"/>
                <w:szCs w:val="22"/>
                <w:lang w:eastAsia="en-GB"/>
              </w:rPr>
              <w:t>999</w:t>
            </w:r>
          </w:p>
        </w:tc>
        <w:tc>
          <w:tcPr>
            <w:tcW w:w="1350" w:type="dxa"/>
            <w:tcBorders>
              <w:top w:val="nil"/>
              <w:left w:val="single" w:sz="8" w:space="0" w:color="auto"/>
              <w:bottom w:val="single" w:sz="4" w:space="0" w:color="auto"/>
              <w:right w:val="single" w:sz="8" w:space="0" w:color="auto"/>
            </w:tcBorders>
            <w:shd w:val="clear" w:color="auto" w:fill="FFC000"/>
          </w:tcPr>
          <w:p w14:paraId="409B1D0E" w14:textId="77777777" w:rsidR="009D6B97" w:rsidRPr="009D6B97" w:rsidRDefault="00CC604C" w:rsidP="00F54F2A">
            <w:pPr>
              <w:jc w:val="center"/>
              <w:rPr>
                <w:rFonts w:ascii="Calibri" w:eastAsia="Times New Roman" w:hAnsi="Calibri" w:cs="Calibri"/>
                <w:sz w:val="22"/>
                <w:szCs w:val="22"/>
                <w:lang w:eastAsia="en-GB"/>
              </w:rPr>
            </w:pPr>
            <w:r w:rsidRPr="00CC604C">
              <w:rPr>
                <w:rFonts w:ascii="Calibri" w:eastAsia="Times New Roman" w:hAnsi="Calibri" w:cs="Calibri"/>
                <w:sz w:val="22"/>
                <w:szCs w:val="22"/>
                <w:lang w:eastAsia="en-GB"/>
              </w:rPr>
              <w:t>£157,209</w:t>
            </w:r>
          </w:p>
        </w:tc>
        <w:tc>
          <w:tcPr>
            <w:tcW w:w="6379" w:type="dxa"/>
            <w:tcBorders>
              <w:top w:val="nil"/>
              <w:left w:val="nil"/>
              <w:bottom w:val="single" w:sz="4" w:space="0" w:color="auto"/>
              <w:right w:val="single" w:sz="8" w:space="0" w:color="auto"/>
            </w:tcBorders>
            <w:shd w:val="clear" w:color="auto" w:fill="auto"/>
          </w:tcPr>
          <w:p w14:paraId="409B1D0F" w14:textId="77777777" w:rsidR="009D6B97" w:rsidRPr="009D6B97" w:rsidRDefault="00CC604C" w:rsidP="009D6B97">
            <w:pPr>
              <w:rPr>
                <w:rFonts w:ascii="Calibri" w:eastAsia="Times New Roman" w:hAnsi="Calibri" w:cs="Calibri"/>
                <w:sz w:val="22"/>
                <w:szCs w:val="22"/>
                <w:lang w:eastAsia="en-GB"/>
              </w:rPr>
            </w:pPr>
            <w:r w:rsidRPr="00CC604C">
              <w:rPr>
                <w:rFonts w:ascii="Calibri" w:eastAsia="Times New Roman" w:hAnsi="Calibri" w:cs="Calibri"/>
                <w:sz w:val="22"/>
                <w:szCs w:val="22"/>
                <w:lang w:eastAsia="en-GB"/>
              </w:rPr>
              <w:t>71% of target achieved which is exactly on profile at the end of Q3.</w:t>
            </w:r>
          </w:p>
        </w:tc>
      </w:tr>
      <w:tr w:rsidR="009D6B97" w:rsidRPr="009D6B97" w14:paraId="409B1D18" w14:textId="77777777" w:rsidTr="00CC604C">
        <w:trPr>
          <w:trHeight w:val="580"/>
        </w:trPr>
        <w:tc>
          <w:tcPr>
            <w:tcW w:w="1276" w:type="dxa"/>
            <w:tcBorders>
              <w:top w:val="nil"/>
              <w:left w:val="single" w:sz="8" w:space="0" w:color="auto"/>
              <w:bottom w:val="single" w:sz="4" w:space="0" w:color="auto"/>
              <w:right w:val="nil"/>
            </w:tcBorders>
            <w:shd w:val="clear" w:color="auto" w:fill="auto"/>
            <w:noWrap/>
            <w:hideMark/>
          </w:tcPr>
          <w:p w14:paraId="409B1D1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14:paraId="409B1D1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14:paraId="409B1D13"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409B1D14" w14:textId="77777777"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w:t>
            </w:r>
            <w:r w:rsidR="00CC604C">
              <w:rPr>
                <w:rFonts w:ascii="Calibri" w:eastAsia="Times New Roman" w:hAnsi="Calibri" w:cs="Calibri"/>
                <w:sz w:val="22"/>
                <w:szCs w:val="22"/>
                <w:lang w:eastAsia="en-GB"/>
              </w:rPr>
              <w:t>,</w:t>
            </w:r>
            <w:r>
              <w:rPr>
                <w:rFonts w:ascii="Calibri" w:eastAsia="Times New Roman" w:hAnsi="Calibri" w:cs="Calibri"/>
                <w:sz w:val="22"/>
                <w:szCs w:val="22"/>
                <w:lang w:eastAsia="en-GB"/>
              </w:rPr>
              <w:t>200</w:t>
            </w:r>
            <w:r w:rsidR="00CC604C">
              <w:rPr>
                <w:rFonts w:ascii="Calibri" w:eastAsia="Times New Roman" w:hAnsi="Calibri" w:cs="Calibri"/>
                <w:sz w:val="22"/>
                <w:szCs w:val="22"/>
                <w:lang w:eastAsia="en-GB"/>
              </w:rPr>
              <w:t>,</w:t>
            </w:r>
            <w:r>
              <w:rPr>
                <w:rFonts w:ascii="Calibri" w:eastAsia="Times New Roman" w:hAnsi="Calibri" w:cs="Calibri"/>
                <w:sz w:val="22"/>
                <w:szCs w:val="22"/>
                <w:lang w:eastAsia="en-GB"/>
              </w:rPr>
              <w:t>000</w:t>
            </w:r>
          </w:p>
        </w:tc>
        <w:tc>
          <w:tcPr>
            <w:tcW w:w="1218" w:type="dxa"/>
            <w:tcBorders>
              <w:top w:val="nil"/>
              <w:left w:val="nil"/>
              <w:bottom w:val="single" w:sz="4" w:space="0" w:color="auto"/>
              <w:right w:val="nil"/>
            </w:tcBorders>
            <w:shd w:val="clear" w:color="auto" w:fill="auto"/>
          </w:tcPr>
          <w:p w14:paraId="409B1D15" w14:textId="77777777" w:rsidR="009D6B97" w:rsidRPr="009D6B97" w:rsidRDefault="00CC604C"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1,649,999</w:t>
            </w:r>
          </w:p>
        </w:tc>
        <w:tc>
          <w:tcPr>
            <w:tcW w:w="1350" w:type="dxa"/>
            <w:tcBorders>
              <w:top w:val="single" w:sz="4" w:space="0" w:color="auto"/>
              <w:left w:val="single" w:sz="8" w:space="0" w:color="auto"/>
              <w:bottom w:val="single" w:sz="4" w:space="0" w:color="auto"/>
              <w:right w:val="single" w:sz="8" w:space="0" w:color="auto"/>
            </w:tcBorders>
            <w:shd w:val="clear" w:color="auto" w:fill="00B050"/>
          </w:tcPr>
          <w:p w14:paraId="409B1D16" w14:textId="77777777" w:rsidR="009D6B97" w:rsidRPr="00CC604C" w:rsidRDefault="00CC604C" w:rsidP="00CC604C">
            <w:pPr>
              <w:rPr>
                <w:rFonts w:ascii="Calibri" w:eastAsia="Times New Roman" w:hAnsi="Calibri" w:cs="Calibri"/>
                <w:color w:val="000000" w:themeColor="text1"/>
                <w:sz w:val="22"/>
                <w:szCs w:val="22"/>
                <w:lang w:eastAsia="en-GB"/>
              </w:rPr>
            </w:pPr>
            <w:r w:rsidRPr="00CC604C">
              <w:rPr>
                <w:rFonts w:ascii="Calibri" w:eastAsia="Times New Roman" w:hAnsi="Calibri" w:cs="Calibri"/>
                <w:color w:val="000000" w:themeColor="text1"/>
                <w:sz w:val="22"/>
                <w:szCs w:val="22"/>
                <w:lang w:eastAsia="en-GB"/>
              </w:rPr>
              <w:t>£3,494,704</w:t>
            </w:r>
          </w:p>
        </w:tc>
        <w:tc>
          <w:tcPr>
            <w:tcW w:w="6379" w:type="dxa"/>
            <w:tcBorders>
              <w:top w:val="nil"/>
              <w:left w:val="nil"/>
              <w:bottom w:val="single" w:sz="4" w:space="0" w:color="auto"/>
              <w:right w:val="single" w:sz="8" w:space="0" w:color="auto"/>
            </w:tcBorders>
            <w:shd w:val="clear" w:color="auto" w:fill="auto"/>
          </w:tcPr>
          <w:p w14:paraId="409B1D17" w14:textId="77777777" w:rsidR="009D6B97" w:rsidRPr="009D6B97" w:rsidRDefault="00CC604C" w:rsidP="009D6B97">
            <w:pPr>
              <w:rPr>
                <w:rFonts w:ascii="Calibri" w:eastAsia="Times New Roman" w:hAnsi="Calibri" w:cs="Calibri"/>
                <w:sz w:val="22"/>
                <w:szCs w:val="22"/>
                <w:lang w:eastAsia="en-GB"/>
              </w:rPr>
            </w:pPr>
            <w:r w:rsidRPr="00CC604C">
              <w:rPr>
                <w:rFonts w:ascii="Calibri" w:eastAsia="Times New Roman" w:hAnsi="Calibri" w:cs="Calibri"/>
                <w:sz w:val="22"/>
                <w:szCs w:val="22"/>
                <w:lang w:eastAsia="en-GB"/>
              </w:rPr>
              <w:t>159% of £2.2m target achieved by the end of Q3.</w:t>
            </w:r>
          </w:p>
        </w:tc>
      </w:tr>
      <w:tr w:rsidR="009D6B97" w:rsidRPr="009D6B97" w14:paraId="409B1D20" w14:textId="77777777" w:rsidTr="00BD2DA1">
        <w:trPr>
          <w:trHeight w:val="694"/>
        </w:trPr>
        <w:tc>
          <w:tcPr>
            <w:tcW w:w="1276" w:type="dxa"/>
            <w:tcBorders>
              <w:top w:val="nil"/>
              <w:left w:val="single" w:sz="8" w:space="0" w:color="auto"/>
              <w:bottom w:val="single" w:sz="4" w:space="0" w:color="auto"/>
              <w:right w:val="nil"/>
            </w:tcBorders>
            <w:shd w:val="clear" w:color="auto" w:fill="auto"/>
            <w:noWrap/>
            <w:hideMark/>
          </w:tcPr>
          <w:p w14:paraId="409B1D19" w14:textId="77777777"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14:paraId="409B1D1A" w14:textId="77777777"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14:paraId="409B1D1B" w14:textId="77777777"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409B1D1C" w14:textId="77777777" w:rsidR="009D6B97" w:rsidRPr="00B34F03" w:rsidRDefault="00BD2DA1"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r w:rsidR="00CE6277" w:rsidRPr="00B34F03">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tcPr>
          <w:p w14:paraId="409B1D1D" w14:textId="77777777" w:rsidR="009D6B97" w:rsidRPr="00B34F03" w:rsidRDefault="00687061"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350" w:type="dxa"/>
            <w:tcBorders>
              <w:top w:val="single" w:sz="4" w:space="0" w:color="auto"/>
              <w:left w:val="single" w:sz="8" w:space="0" w:color="auto"/>
              <w:bottom w:val="single" w:sz="4" w:space="0" w:color="auto"/>
              <w:right w:val="single" w:sz="8" w:space="0" w:color="auto"/>
            </w:tcBorders>
            <w:shd w:val="clear" w:color="auto" w:fill="00B050"/>
          </w:tcPr>
          <w:p w14:paraId="409B1D1E" w14:textId="77777777" w:rsidR="009D6B97" w:rsidRPr="00CC604C" w:rsidRDefault="00BD2DA1" w:rsidP="009D6B97">
            <w:pPr>
              <w:jc w:val="center"/>
              <w:rPr>
                <w:rFonts w:ascii="Calibri" w:eastAsia="Times New Roman" w:hAnsi="Calibri" w:cs="Calibri"/>
                <w:color w:val="FFFFFF" w:themeColor="background1"/>
                <w:sz w:val="22"/>
                <w:szCs w:val="22"/>
                <w:lang w:eastAsia="en-GB"/>
              </w:rPr>
            </w:pPr>
            <w:r>
              <w:rPr>
                <w:rFonts w:ascii="Calibri" w:eastAsia="Times New Roman" w:hAnsi="Calibri" w:cs="Calibri"/>
                <w:color w:val="000000" w:themeColor="text1"/>
                <w:sz w:val="22"/>
                <w:szCs w:val="22"/>
                <w:lang w:eastAsia="en-GB"/>
              </w:rPr>
              <w:t>69.39</w:t>
            </w:r>
          </w:p>
        </w:tc>
        <w:tc>
          <w:tcPr>
            <w:tcW w:w="6379" w:type="dxa"/>
            <w:tcBorders>
              <w:top w:val="nil"/>
              <w:left w:val="nil"/>
              <w:bottom w:val="single" w:sz="4" w:space="0" w:color="auto"/>
              <w:right w:val="single" w:sz="8" w:space="0" w:color="auto"/>
            </w:tcBorders>
            <w:shd w:val="clear" w:color="auto" w:fill="auto"/>
          </w:tcPr>
          <w:p w14:paraId="409B1D1F" w14:textId="77777777" w:rsidR="009D6B97" w:rsidRPr="009D6B97" w:rsidRDefault="00BD2DA1" w:rsidP="009D6B97">
            <w:pPr>
              <w:rPr>
                <w:rFonts w:ascii="Calibri" w:eastAsia="Times New Roman" w:hAnsi="Calibri" w:cs="Calibri"/>
                <w:sz w:val="22"/>
                <w:szCs w:val="22"/>
                <w:lang w:eastAsia="en-GB"/>
              </w:rPr>
            </w:pPr>
            <w:r>
              <w:rPr>
                <w:rFonts w:ascii="Calibri" w:eastAsia="Times New Roman" w:hAnsi="Calibri" w:cs="Calibri"/>
                <w:sz w:val="22"/>
                <w:szCs w:val="22"/>
                <w:lang w:eastAsia="en-GB"/>
              </w:rPr>
              <w:t>On target</w:t>
            </w:r>
          </w:p>
        </w:tc>
      </w:tr>
      <w:tr w:rsidR="009D6B97" w:rsidRPr="009D6B97" w14:paraId="409B1D28" w14:textId="77777777" w:rsidTr="008F66E7">
        <w:trPr>
          <w:trHeight w:val="680"/>
        </w:trPr>
        <w:tc>
          <w:tcPr>
            <w:tcW w:w="1276" w:type="dxa"/>
            <w:tcBorders>
              <w:top w:val="nil"/>
              <w:left w:val="single" w:sz="8" w:space="0" w:color="auto"/>
              <w:bottom w:val="single" w:sz="4" w:space="0" w:color="auto"/>
              <w:right w:val="nil"/>
            </w:tcBorders>
            <w:shd w:val="clear" w:color="auto" w:fill="auto"/>
            <w:noWrap/>
            <w:vAlign w:val="center"/>
            <w:hideMark/>
          </w:tcPr>
          <w:p w14:paraId="409B1D21" w14:textId="77777777"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22" w14:textId="77777777"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14:paraId="409B1D23" w14:textId="77777777"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09B1D24" w14:textId="77777777" w:rsidR="009D6B97" w:rsidRPr="00924606" w:rsidRDefault="008F66E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w:t>
            </w:r>
            <w:r w:rsidR="00924606">
              <w:rPr>
                <w:rFonts w:ascii="Calibri" w:eastAsia="Times New Roman" w:hAnsi="Calibri" w:cs="Calibri"/>
                <w:sz w:val="22"/>
                <w:szCs w:val="22"/>
                <w:lang w:eastAsia="en-GB"/>
              </w:rPr>
              <w:t>.5%</w:t>
            </w:r>
          </w:p>
        </w:tc>
        <w:tc>
          <w:tcPr>
            <w:tcW w:w="1218" w:type="dxa"/>
            <w:tcBorders>
              <w:top w:val="nil"/>
              <w:left w:val="nil"/>
              <w:bottom w:val="single" w:sz="4" w:space="0" w:color="auto"/>
              <w:right w:val="nil"/>
            </w:tcBorders>
            <w:shd w:val="clear" w:color="auto" w:fill="auto"/>
            <w:noWrap/>
            <w:vAlign w:val="center"/>
          </w:tcPr>
          <w:p w14:paraId="409B1D25" w14:textId="77777777" w:rsidR="009D6B97" w:rsidRPr="00924606" w:rsidRDefault="008F66E7"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83.5</w:t>
            </w:r>
            <w:r w:rsidR="001D4EA1">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C000"/>
            <w:vAlign w:val="center"/>
          </w:tcPr>
          <w:p w14:paraId="409B1D26" w14:textId="77777777" w:rsidR="009D6B97" w:rsidRPr="007970B3" w:rsidRDefault="008F66E7" w:rsidP="009D6B97">
            <w:pPr>
              <w:jc w:val="center"/>
              <w:rPr>
                <w:rFonts w:ascii="Calibri" w:eastAsia="Times New Roman" w:hAnsi="Calibri" w:cs="Calibri"/>
                <w:sz w:val="22"/>
                <w:szCs w:val="22"/>
                <w:lang w:val="en-US" w:eastAsia="en-GB"/>
              </w:rPr>
            </w:pPr>
            <w:r>
              <w:rPr>
                <w:rFonts w:ascii="Calibri" w:eastAsia="Times New Roman" w:hAnsi="Calibri" w:cs="Calibri"/>
                <w:sz w:val="22"/>
                <w:szCs w:val="22"/>
                <w:lang w:eastAsia="en-GB"/>
              </w:rPr>
              <w:t>81.69%</w:t>
            </w:r>
          </w:p>
        </w:tc>
        <w:tc>
          <w:tcPr>
            <w:tcW w:w="6379" w:type="dxa"/>
            <w:tcBorders>
              <w:top w:val="nil"/>
              <w:left w:val="nil"/>
              <w:bottom w:val="single" w:sz="4" w:space="0" w:color="auto"/>
              <w:right w:val="single" w:sz="8" w:space="0" w:color="auto"/>
            </w:tcBorders>
            <w:shd w:val="clear" w:color="auto" w:fill="auto"/>
          </w:tcPr>
          <w:p w14:paraId="409B1D27" w14:textId="77777777" w:rsidR="00E508F8" w:rsidRPr="009D6B97" w:rsidRDefault="008F66E7" w:rsidP="00176585">
            <w:pPr>
              <w:rPr>
                <w:rFonts w:ascii="Calibri" w:eastAsia="Times New Roman" w:hAnsi="Calibri" w:cs="Calibri"/>
                <w:sz w:val="22"/>
                <w:szCs w:val="22"/>
                <w:lang w:eastAsia="en-GB"/>
              </w:rPr>
            </w:pPr>
            <w:r w:rsidRPr="00CA7AAD">
              <w:rPr>
                <w:rStyle w:val="normaltextrun"/>
                <w:rFonts w:asciiTheme="minorHAnsi" w:hAnsiTheme="minorHAnsi" w:cstheme="minorHAnsi"/>
                <w:color w:val="000000"/>
                <w:sz w:val="22"/>
                <w:szCs w:val="22"/>
                <w:shd w:val="clear" w:color="auto" w:fill="FFFFFF"/>
              </w:rPr>
              <w:t>We are due to place the discounts and exemptions on for Students this month which will increase the collection rate, by reducing the level of council tax charge due for the year.</w:t>
            </w:r>
            <w:r>
              <w:rPr>
                <w:rStyle w:val="eop"/>
                <w:color w:val="000000"/>
                <w:sz w:val="20"/>
                <w:szCs w:val="20"/>
                <w:shd w:val="clear" w:color="auto" w:fill="FFFFFF"/>
              </w:rPr>
              <w:t> </w:t>
            </w:r>
          </w:p>
        </w:tc>
      </w:tr>
      <w:tr w:rsidR="00DE0C6E" w:rsidRPr="009D6B97" w14:paraId="409B1D30" w14:textId="77777777" w:rsidTr="008F66E7">
        <w:trPr>
          <w:trHeight w:val="740"/>
        </w:trPr>
        <w:tc>
          <w:tcPr>
            <w:tcW w:w="1276" w:type="dxa"/>
            <w:tcBorders>
              <w:top w:val="nil"/>
              <w:left w:val="single" w:sz="8" w:space="0" w:color="auto"/>
              <w:bottom w:val="single" w:sz="4" w:space="0" w:color="auto"/>
              <w:right w:val="nil"/>
            </w:tcBorders>
            <w:shd w:val="clear" w:color="auto" w:fill="auto"/>
            <w:noWrap/>
            <w:vAlign w:val="center"/>
            <w:hideMark/>
          </w:tcPr>
          <w:p w14:paraId="409B1D29"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2A"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14:paraId="409B1D2B"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09B1D2C" w14:textId="77777777" w:rsidR="00DE0C6E" w:rsidRPr="00924606" w:rsidRDefault="00DE0C6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Pr="00924606">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noWrap/>
            <w:vAlign w:val="center"/>
          </w:tcPr>
          <w:p w14:paraId="409B1D2D" w14:textId="77777777" w:rsidR="00DE0C6E" w:rsidRPr="00924606" w:rsidRDefault="00CA7AAD"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84</w:t>
            </w:r>
            <w:r w:rsidR="007970B3">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C000"/>
            <w:vAlign w:val="center"/>
          </w:tcPr>
          <w:p w14:paraId="409B1D2E" w14:textId="77777777" w:rsidR="00DE0C6E" w:rsidRPr="007970B3" w:rsidRDefault="008F66E7" w:rsidP="00DE0C6E">
            <w:pPr>
              <w:jc w:val="center"/>
              <w:rPr>
                <w:rFonts w:ascii="Calibri" w:eastAsia="Times New Roman" w:hAnsi="Calibri" w:cs="Calibri"/>
                <w:color w:val="FFFFFF" w:themeColor="background1"/>
                <w:sz w:val="22"/>
                <w:szCs w:val="22"/>
                <w:lang w:eastAsia="en-GB"/>
              </w:rPr>
            </w:pPr>
            <w:r>
              <w:rPr>
                <w:rFonts w:ascii="Calibri" w:eastAsia="Times New Roman" w:hAnsi="Calibri" w:cs="Calibri"/>
                <w:color w:val="000000" w:themeColor="text1"/>
                <w:sz w:val="22"/>
                <w:szCs w:val="22"/>
                <w:lang w:eastAsia="en-GB"/>
              </w:rPr>
              <w:t>81.11</w:t>
            </w:r>
            <w:r w:rsidR="007970B3" w:rsidRPr="008F66E7">
              <w:rPr>
                <w:rFonts w:ascii="Calibri" w:eastAsia="Times New Roman" w:hAnsi="Calibri" w:cs="Calibri"/>
                <w:color w:val="000000" w:themeColor="text1"/>
                <w:sz w:val="22"/>
                <w:szCs w:val="22"/>
                <w:lang w:eastAsia="en-GB"/>
              </w:rPr>
              <w:t>%</w:t>
            </w:r>
          </w:p>
        </w:tc>
        <w:tc>
          <w:tcPr>
            <w:tcW w:w="6379" w:type="dxa"/>
            <w:tcBorders>
              <w:top w:val="nil"/>
              <w:left w:val="nil"/>
              <w:bottom w:val="single" w:sz="4" w:space="0" w:color="auto"/>
              <w:right w:val="single" w:sz="8" w:space="0" w:color="auto"/>
            </w:tcBorders>
            <w:shd w:val="clear" w:color="auto" w:fill="auto"/>
          </w:tcPr>
          <w:p w14:paraId="409B1D2F" w14:textId="77777777" w:rsidR="00DE0C6E" w:rsidRPr="0005475A" w:rsidRDefault="008F66E7" w:rsidP="007970B3">
            <w:pPr>
              <w:rPr>
                <w:rFonts w:ascii="Segoe UI" w:eastAsia="Times New Roman" w:hAnsi="Segoe UI" w:cs="Segoe UI"/>
                <w:sz w:val="18"/>
                <w:szCs w:val="18"/>
                <w:lang w:eastAsia="en-GB"/>
              </w:rPr>
            </w:pPr>
            <w:r w:rsidRPr="00CA7AAD">
              <w:rPr>
                <w:rStyle w:val="normaltextrun"/>
                <w:rFonts w:asciiTheme="minorHAnsi" w:hAnsiTheme="minorHAnsi" w:cstheme="minorHAnsi"/>
                <w:color w:val="000000"/>
                <w:sz w:val="22"/>
                <w:szCs w:val="22"/>
                <w:shd w:val="clear" w:color="auto" w:fill="FFFFFF"/>
              </w:rPr>
              <w:t>Collection is tracking below target (target is 84%) due to 6 large accounts being applied from the Valuation Office in November.  We are expecting to catch this back up over the coming months.</w:t>
            </w:r>
          </w:p>
        </w:tc>
      </w:tr>
      <w:tr w:rsidR="00DE0C6E" w:rsidRPr="009D6B97" w14:paraId="409B1D38" w14:textId="77777777" w:rsidTr="00EA1DE2">
        <w:trPr>
          <w:trHeight w:val="1375"/>
        </w:trPr>
        <w:tc>
          <w:tcPr>
            <w:tcW w:w="1276" w:type="dxa"/>
            <w:tcBorders>
              <w:top w:val="nil"/>
              <w:left w:val="single" w:sz="8" w:space="0" w:color="auto"/>
              <w:bottom w:val="single" w:sz="4" w:space="0" w:color="auto"/>
              <w:right w:val="nil"/>
            </w:tcBorders>
            <w:shd w:val="clear" w:color="auto" w:fill="auto"/>
            <w:noWrap/>
            <w:vAlign w:val="center"/>
            <w:hideMark/>
          </w:tcPr>
          <w:p w14:paraId="409B1D31"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32"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14:paraId="409B1D33"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Anna Winship, 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09B1D34" w14:textId="77777777"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Tracking indicator</w:t>
            </w:r>
          </w:p>
        </w:tc>
        <w:tc>
          <w:tcPr>
            <w:tcW w:w="1218" w:type="dxa"/>
            <w:tcBorders>
              <w:top w:val="nil"/>
              <w:left w:val="nil"/>
              <w:bottom w:val="single" w:sz="4" w:space="0" w:color="auto"/>
              <w:right w:val="nil"/>
            </w:tcBorders>
            <w:shd w:val="clear" w:color="auto" w:fill="auto"/>
            <w:noWrap/>
            <w:vAlign w:val="center"/>
          </w:tcPr>
          <w:p w14:paraId="409B1D35" w14:textId="77777777" w:rsidR="00DE0C6E" w:rsidRPr="002F5DF3" w:rsidRDefault="003718EF"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350" w:type="dxa"/>
            <w:tcBorders>
              <w:top w:val="single" w:sz="4" w:space="0" w:color="auto"/>
              <w:left w:val="single" w:sz="8" w:space="0" w:color="auto"/>
              <w:bottom w:val="single" w:sz="4" w:space="0" w:color="auto"/>
              <w:right w:val="single" w:sz="8" w:space="0" w:color="auto"/>
            </w:tcBorders>
            <w:shd w:val="clear" w:color="auto" w:fill="00B050"/>
            <w:vAlign w:val="center"/>
          </w:tcPr>
          <w:p w14:paraId="409B1D36" w14:textId="77777777" w:rsidR="00DE0C6E" w:rsidRPr="00BD2DA1" w:rsidRDefault="00BD2DA1" w:rsidP="00EA1DE2">
            <w:pPr>
              <w:jc w:val="center"/>
              <w:rPr>
                <w:rFonts w:ascii="Calibri" w:eastAsia="Times New Roman" w:hAnsi="Calibri" w:cs="Calibri"/>
                <w:sz w:val="22"/>
                <w:szCs w:val="22"/>
                <w:lang w:eastAsia="en-GB"/>
              </w:rPr>
            </w:pPr>
            <w:r w:rsidRPr="00EA1DE2">
              <w:rPr>
                <w:rStyle w:val="normaltextrun"/>
                <w:color w:val="000000"/>
                <w:sz w:val="19"/>
                <w:szCs w:val="19"/>
                <w:shd w:val="clear" w:color="auto" w:fill="FFFFFF"/>
              </w:rPr>
              <w:t>£2.426m</w:t>
            </w:r>
          </w:p>
        </w:tc>
        <w:tc>
          <w:tcPr>
            <w:tcW w:w="6379" w:type="dxa"/>
            <w:tcBorders>
              <w:top w:val="nil"/>
              <w:left w:val="nil"/>
              <w:bottom w:val="single" w:sz="4" w:space="0" w:color="auto"/>
              <w:right w:val="single" w:sz="8" w:space="0" w:color="auto"/>
            </w:tcBorders>
            <w:shd w:val="clear" w:color="auto" w:fill="auto"/>
            <w:vAlign w:val="center"/>
          </w:tcPr>
          <w:p w14:paraId="409B1D37" w14:textId="77777777" w:rsidR="00DE0C6E" w:rsidRPr="00EA1DE2" w:rsidRDefault="00BD2DA1" w:rsidP="00DE0C6E">
            <w:pPr>
              <w:rPr>
                <w:rFonts w:asciiTheme="minorHAnsi" w:eastAsia="Times New Roman" w:hAnsiTheme="minorHAnsi" w:cstheme="minorHAnsi"/>
                <w:sz w:val="22"/>
                <w:szCs w:val="22"/>
                <w:lang w:eastAsia="en-GB"/>
              </w:rPr>
            </w:pPr>
            <w:r w:rsidRPr="00EA1DE2">
              <w:rPr>
                <w:rStyle w:val="normaltextrun"/>
                <w:rFonts w:asciiTheme="minorHAnsi" w:hAnsiTheme="minorHAnsi" w:cstheme="minorHAnsi"/>
                <w:color w:val="000000"/>
                <w:sz w:val="22"/>
                <w:szCs w:val="22"/>
                <w:shd w:val="clear" w:color="auto" w:fill="FFFFFF"/>
              </w:rPr>
              <w:t>£1.3 million youth investment funding, local authority housing fund (LAHF) £1.1 million 6 new homes for Ukranian and Afghan refugees families, £26k biodiversity net gain (DEFRA)</w:t>
            </w:r>
            <w:r w:rsidR="00CA7AAD">
              <w:rPr>
                <w:rStyle w:val="eop"/>
                <w:rFonts w:asciiTheme="minorHAnsi" w:hAnsiTheme="minorHAnsi" w:cstheme="minorHAnsi"/>
                <w:color w:val="000000"/>
                <w:sz w:val="22"/>
                <w:szCs w:val="22"/>
                <w:shd w:val="clear" w:color="auto" w:fill="FFFFFF"/>
              </w:rPr>
              <w:t>.</w:t>
            </w:r>
          </w:p>
        </w:tc>
      </w:tr>
      <w:tr w:rsidR="00DE0C6E" w:rsidRPr="009D6B97" w14:paraId="409B1D40" w14:textId="77777777" w:rsidTr="00EA1DE2">
        <w:trPr>
          <w:trHeight w:val="870"/>
        </w:trPr>
        <w:tc>
          <w:tcPr>
            <w:tcW w:w="1276" w:type="dxa"/>
            <w:tcBorders>
              <w:top w:val="nil"/>
              <w:left w:val="single" w:sz="8" w:space="0" w:color="auto"/>
              <w:bottom w:val="single" w:sz="4" w:space="0" w:color="auto"/>
              <w:right w:val="nil"/>
            </w:tcBorders>
            <w:shd w:val="clear" w:color="auto" w:fill="auto"/>
            <w:noWrap/>
            <w:hideMark/>
          </w:tcPr>
          <w:p w14:paraId="409B1D39" w14:textId="77777777" w:rsidR="00DE0C6E" w:rsidRPr="00B34F03" w:rsidRDefault="00997A66" w:rsidP="00DE0C6E">
            <w:pPr>
              <w:rPr>
                <w:rFonts w:ascii="Calibri" w:eastAsia="Times New Roman" w:hAnsi="Calibri" w:cs="Calibri"/>
                <w:sz w:val="22"/>
                <w:szCs w:val="22"/>
                <w:lang w:eastAsia="en-GB"/>
              </w:rPr>
            </w:pPr>
            <w:r>
              <w:rPr>
                <w:rFonts w:ascii="Calibri" w:eastAsia="Times New Roman" w:hAnsi="Calibri" w:cs="Calibri"/>
                <w:sz w:val="22"/>
                <w:szCs w:val="22"/>
                <w:lang w:eastAsia="en-GB"/>
              </w:rPr>
              <w:t>LG003</w:t>
            </w:r>
          </w:p>
        </w:tc>
        <w:tc>
          <w:tcPr>
            <w:tcW w:w="3119" w:type="dxa"/>
            <w:tcBorders>
              <w:top w:val="nil"/>
              <w:left w:val="single" w:sz="8" w:space="0" w:color="auto"/>
              <w:bottom w:val="single" w:sz="4" w:space="0" w:color="auto"/>
              <w:right w:val="single" w:sz="8" w:space="0" w:color="auto"/>
            </w:tcBorders>
            <w:shd w:val="clear" w:color="auto" w:fill="auto"/>
            <w:hideMark/>
          </w:tcPr>
          <w:p w14:paraId="409B1D3A" w14:textId="77777777" w:rsidR="00DE0C6E" w:rsidRPr="00B34F03" w:rsidRDefault="007B2A8E" w:rsidP="00DE0C6E">
            <w:pPr>
              <w:rPr>
                <w:rFonts w:ascii="Calibri" w:eastAsia="Times New Roman" w:hAnsi="Calibri" w:cs="Calibri"/>
                <w:sz w:val="22"/>
                <w:szCs w:val="22"/>
                <w:lang w:eastAsia="en-GB"/>
              </w:rPr>
            </w:pPr>
            <w:r w:rsidRPr="007B2A8E">
              <w:rPr>
                <w:rFonts w:ascii="Calibri" w:eastAsia="Times New Roman" w:hAnsi="Calibri" w:cs="Calibri"/>
                <w:sz w:val="22"/>
                <w:szCs w:val="22"/>
                <w:lang w:eastAsia="en-GB"/>
              </w:rPr>
              <w:t>Percentage of Data Subject Access Requests responded to within deadline</w:t>
            </w:r>
          </w:p>
        </w:tc>
        <w:tc>
          <w:tcPr>
            <w:tcW w:w="1276" w:type="dxa"/>
            <w:tcBorders>
              <w:top w:val="nil"/>
              <w:left w:val="nil"/>
              <w:bottom w:val="single" w:sz="4" w:space="0" w:color="auto"/>
              <w:right w:val="nil"/>
            </w:tcBorders>
            <w:shd w:val="clear" w:color="auto" w:fill="auto"/>
            <w:hideMark/>
          </w:tcPr>
          <w:p w14:paraId="409B1D3B" w14:textId="77777777" w:rsidR="00DE0C6E" w:rsidRPr="00B34F03" w:rsidRDefault="00DE0C6E" w:rsidP="00DE0C6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Grace Wigham</w:t>
            </w:r>
          </w:p>
        </w:tc>
        <w:tc>
          <w:tcPr>
            <w:tcW w:w="1218" w:type="dxa"/>
            <w:tcBorders>
              <w:top w:val="nil"/>
              <w:left w:val="single" w:sz="8" w:space="0" w:color="auto"/>
              <w:bottom w:val="single" w:sz="4" w:space="0" w:color="auto"/>
              <w:right w:val="single" w:sz="8" w:space="0" w:color="auto"/>
            </w:tcBorders>
            <w:shd w:val="clear" w:color="auto" w:fill="auto"/>
            <w:hideMark/>
          </w:tcPr>
          <w:p w14:paraId="409B1D3C" w14:textId="77777777" w:rsidR="00DE0C6E" w:rsidRPr="00B34F03" w:rsidRDefault="00DE0C6E" w:rsidP="00DE0C6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0%</w:t>
            </w:r>
          </w:p>
        </w:tc>
        <w:tc>
          <w:tcPr>
            <w:tcW w:w="1218" w:type="dxa"/>
            <w:tcBorders>
              <w:top w:val="nil"/>
              <w:left w:val="nil"/>
              <w:bottom w:val="single" w:sz="4" w:space="0" w:color="auto"/>
              <w:right w:val="nil"/>
            </w:tcBorders>
            <w:shd w:val="clear" w:color="auto" w:fill="auto"/>
          </w:tcPr>
          <w:p w14:paraId="409B1D3D" w14:textId="77777777" w:rsidR="00DE0C6E" w:rsidRPr="00B34F03" w:rsidRDefault="007B2A8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00997A66">
              <w:rPr>
                <w:rFonts w:ascii="Calibri" w:eastAsia="Times New Roman" w:hAnsi="Calibri" w:cs="Calibri"/>
                <w:sz w:val="22"/>
                <w:szCs w:val="22"/>
                <w:lang w:eastAsia="en-GB"/>
              </w:rPr>
              <w:t>%</w:t>
            </w:r>
          </w:p>
        </w:tc>
        <w:tc>
          <w:tcPr>
            <w:tcW w:w="1350" w:type="dxa"/>
            <w:tcBorders>
              <w:top w:val="single" w:sz="4" w:space="0" w:color="auto"/>
              <w:left w:val="single" w:sz="8" w:space="0" w:color="auto"/>
              <w:bottom w:val="single" w:sz="4" w:space="0" w:color="auto"/>
              <w:right w:val="single" w:sz="8" w:space="0" w:color="auto"/>
            </w:tcBorders>
            <w:shd w:val="clear" w:color="auto" w:fill="00B050"/>
          </w:tcPr>
          <w:p w14:paraId="409B1D3E" w14:textId="77777777" w:rsidR="00DE0C6E" w:rsidRPr="009D6B97" w:rsidRDefault="007B2A8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100%</w:t>
            </w:r>
          </w:p>
        </w:tc>
        <w:tc>
          <w:tcPr>
            <w:tcW w:w="6379" w:type="dxa"/>
            <w:tcBorders>
              <w:top w:val="nil"/>
              <w:left w:val="nil"/>
              <w:bottom w:val="single" w:sz="4" w:space="0" w:color="auto"/>
              <w:right w:val="single" w:sz="8" w:space="0" w:color="auto"/>
            </w:tcBorders>
            <w:shd w:val="clear" w:color="auto" w:fill="auto"/>
          </w:tcPr>
          <w:p w14:paraId="409B1D3F" w14:textId="77777777" w:rsidR="00DE0C6E" w:rsidRPr="009D6B97" w:rsidRDefault="00DE0C6E" w:rsidP="00DE0C6E">
            <w:pPr>
              <w:rPr>
                <w:rFonts w:ascii="Calibri" w:eastAsia="Times New Roman" w:hAnsi="Calibri" w:cs="Calibri"/>
                <w:sz w:val="22"/>
                <w:szCs w:val="22"/>
                <w:lang w:eastAsia="en-GB"/>
              </w:rPr>
            </w:pPr>
          </w:p>
        </w:tc>
      </w:tr>
      <w:tr w:rsidR="00DE0C6E" w:rsidRPr="009D6B97" w14:paraId="409B1D48" w14:textId="77777777" w:rsidTr="00CE6277">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14:paraId="409B1D41"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42"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14:paraId="409B1D43" w14:textId="77777777"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Mish Tullar</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09B1D44" w14:textId="77777777"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No data available</w:t>
            </w:r>
          </w:p>
        </w:tc>
        <w:tc>
          <w:tcPr>
            <w:tcW w:w="1218" w:type="dxa"/>
            <w:tcBorders>
              <w:top w:val="nil"/>
              <w:left w:val="nil"/>
              <w:bottom w:val="single" w:sz="4" w:space="0" w:color="auto"/>
              <w:right w:val="nil"/>
            </w:tcBorders>
            <w:shd w:val="clear" w:color="auto" w:fill="auto"/>
            <w:noWrap/>
            <w:vAlign w:val="center"/>
            <w:hideMark/>
          </w:tcPr>
          <w:p w14:paraId="409B1D45" w14:textId="77777777"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Tracking Indicator</w:t>
            </w:r>
          </w:p>
        </w:tc>
        <w:tc>
          <w:tcPr>
            <w:tcW w:w="1350" w:type="dxa"/>
            <w:tcBorders>
              <w:top w:val="nil"/>
              <w:left w:val="single" w:sz="8" w:space="0" w:color="auto"/>
              <w:bottom w:val="single" w:sz="4" w:space="0" w:color="auto"/>
              <w:right w:val="single" w:sz="8" w:space="0" w:color="auto"/>
            </w:tcBorders>
            <w:shd w:val="clear" w:color="auto" w:fill="auto"/>
            <w:vAlign w:val="center"/>
            <w:hideMark/>
          </w:tcPr>
          <w:p w14:paraId="409B1D46" w14:textId="77777777"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TBC</w:t>
            </w:r>
          </w:p>
        </w:tc>
        <w:tc>
          <w:tcPr>
            <w:tcW w:w="6379" w:type="dxa"/>
            <w:tcBorders>
              <w:top w:val="nil"/>
              <w:left w:val="nil"/>
              <w:bottom w:val="single" w:sz="4" w:space="0" w:color="auto"/>
              <w:right w:val="single" w:sz="8" w:space="0" w:color="auto"/>
            </w:tcBorders>
            <w:shd w:val="clear" w:color="auto" w:fill="auto"/>
            <w:vAlign w:val="center"/>
            <w:hideMark/>
          </w:tcPr>
          <w:p w14:paraId="409B1D47" w14:textId="77777777" w:rsidR="00DE0C6E" w:rsidRPr="00924606" w:rsidRDefault="00A85E4C" w:rsidP="00DE0C6E">
            <w:pPr>
              <w:rPr>
                <w:rFonts w:ascii="Calibri" w:eastAsia="Times New Roman" w:hAnsi="Calibri" w:cs="Calibri"/>
                <w:sz w:val="22"/>
                <w:szCs w:val="22"/>
                <w:lang w:eastAsia="en-GB"/>
              </w:rPr>
            </w:pPr>
            <w:r w:rsidRPr="00A85E4C">
              <w:rPr>
                <w:rFonts w:ascii="Calibri" w:eastAsia="Times New Roman" w:hAnsi="Calibri" w:cs="Calibri"/>
                <w:sz w:val="22"/>
                <w:szCs w:val="22"/>
                <w:lang w:eastAsia="en-GB"/>
              </w:rPr>
              <w:t>Baseline to be set in summer 2023 utilising Oxford Residents Panel and then a tracking indicator.</w:t>
            </w:r>
          </w:p>
        </w:tc>
      </w:tr>
      <w:tr w:rsidR="00AF5D47" w:rsidRPr="009D6B97" w14:paraId="409B1D50" w14:textId="77777777" w:rsidTr="00C14CED">
        <w:trPr>
          <w:trHeight w:val="290"/>
        </w:trPr>
        <w:tc>
          <w:tcPr>
            <w:tcW w:w="1276" w:type="dxa"/>
            <w:tcBorders>
              <w:top w:val="nil"/>
              <w:left w:val="single" w:sz="8" w:space="0" w:color="auto"/>
              <w:bottom w:val="single" w:sz="4" w:space="0" w:color="auto"/>
              <w:right w:val="nil"/>
            </w:tcBorders>
            <w:shd w:val="clear" w:color="auto" w:fill="auto"/>
            <w:noWrap/>
            <w:vAlign w:val="center"/>
            <w:hideMark/>
          </w:tcPr>
          <w:p w14:paraId="409B1D49"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09B1D4A"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14:paraId="409B1D4B"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Ian Brooke</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09B1D4C" w14:textId="77777777" w:rsidR="00AF5D47" w:rsidRPr="00924606"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218" w:type="dxa"/>
            <w:tcBorders>
              <w:top w:val="nil"/>
              <w:left w:val="nil"/>
              <w:bottom w:val="single" w:sz="4" w:space="0" w:color="auto"/>
              <w:right w:val="nil"/>
            </w:tcBorders>
            <w:shd w:val="clear" w:color="auto" w:fill="auto"/>
            <w:noWrap/>
            <w:vAlign w:val="center"/>
          </w:tcPr>
          <w:p w14:paraId="409B1D4D" w14:textId="77777777" w:rsidR="00AF5D47" w:rsidRPr="00924606" w:rsidRDefault="007970B3"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350" w:type="dxa"/>
            <w:tcBorders>
              <w:top w:val="nil"/>
              <w:left w:val="single" w:sz="8" w:space="0" w:color="auto"/>
              <w:bottom w:val="single" w:sz="4" w:space="0" w:color="auto"/>
              <w:right w:val="single" w:sz="8" w:space="0" w:color="auto"/>
            </w:tcBorders>
            <w:shd w:val="clear" w:color="auto" w:fill="FFC000"/>
            <w:vAlign w:val="center"/>
          </w:tcPr>
          <w:p w14:paraId="409B1D4E" w14:textId="77777777" w:rsidR="00AF5D47" w:rsidRPr="00924606" w:rsidRDefault="007970B3"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74.4</w:t>
            </w:r>
          </w:p>
        </w:tc>
        <w:tc>
          <w:tcPr>
            <w:tcW w:w="6379" w:type="dxa"/>
            <w:tcBorders>
              <w:top w:val="nil"/>
              <w:left w:val="nil"/>
              <w:bottom w:val="single" w:sz="4" w:space="0" w:color="auto"/>
              <w:right w:val="single" w:sz="8" w:space="0" w:color="auto"/>
            </w:tcBorders>
            <w:shd w:val="clear" w:color="auto" w:fill="auto"/>
          </w:tcPr>
          <w:p w14:paraId="409B1D4F" w14:textId="77777777" w:rsidR="00AF5D47" w:rsidRPr="0005475A" w:rsidRDefault="007970B3" w:rsidP="00AF5D47">
            <w:pPr>
              <w:textAlignment w:val="baseline"/>
              <w:rPr>
                <w:rFonts w:ascii="Segoe UI" w:eastAsia="Times New Roman" w:hAnsi="Segoe UI" w:cs="Segoe UI"/>
                <w:sz w:val="18"/>
                <w:szCs w:val="18"/>
                <w:lang w:eastAsia="en-GB"/>
              </w:rPr>
            </w:pPr>
            <w:r w:rsidRPr="007970B3">
              <w:rPr>
                <w:rFonts w:ascii="Calibri" w:eastAsia="Times New Roman" w:hAnsi="Calibri" w:cs="Calibri"/>
                <w:sz w:val="22"/>
                <w:szCs w:val="22"/>
                <w:lang w:eastAsia="en-GB"/>
              </w:rPr>
              <w:t>Active lives survey is reported on annually so progress towards target might not be seen immediately. </w:t>
            </w:r>
          </w:p>
        </w:tc>
      </w:tr>
      <w:tr w:rsidR="00AF5D47" w:rsidRPr="009D6B97" w14:paraId="409B1D59" w14:textId="77777777" w:rsidTr="00F722B6">
        <w:trPr>
          <w:trHeight w:val="1450"/>
        </w:trPr>
        <w:tc>
          <w:tcPr>
            <w:tcW w:w="1276" w:type="dxa"/>
            <w:tcBorders>
              <w:top w:val="nil"/>
              <w:left w:val="single" w:sz="8" w:space="0" w:color="auto"/>
              <w:bottom w:val="single" w:sz="4" w:space="0" w:color="auto"/>
              <w:right w:val="nil"/>
            </w:tcBorders>
            <w:shd w:val="clear" w:color="auto" w:fill="auto"/>
            <w:noWrap/>
            <w:hideMark/>
          </w:tcPr>
          <w:p w14:paraId="409B1D51" w14:textId="77777777"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RS005</w:t>
            </w:r>
          </w:p>
        </w:tc>
        <w:tc>
          <w:tcPr>
            <w:tcW w:w="3119" w:type="dxa"/>
            <w:tcBorders>
              <w:top w:val="nil"/>
              <w:left w:val="single" w:sz="8" w:space="0" w:color="auto"/>
              <w:bottom w:val="single" w:sz="4" w:space="0" w:color="auto"/>
              <w:right w:val="single" w:sz="8" w:space="0" w:color="auto"/>
            </w:tcBorders>
            <w:shd w:val="clear" w:color="auto" w:fill="auto"/>
            <w:hideMark/>
          </w:tcPr>
          <w:p w14:paraId="409B1D52" w14:textId="77777777"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14:paraId="409B1D53" w14:textId="77777777"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18" w:type="dxa"/>
            <w:tcBorders>
              <w:top w:val="nil"/>
              <w:left w:val="single" w:sz="8" w:space="0" w:color="auto"/>
              <w:bottom w:val="single" w:sz="4" w:space="0" w:color="auto"/>
              <w:right w:val="single" w:sz="8" w:space="0" w:color="auto"/>
            </w:tcBorders>
            <w:shd w:val="clear" w:color="auto" w:fill="auto"/>
            <w:hideMark/>
          </w:tcPr>
          <w:p w14:paraId="409B1D54" w14:textId="77777777" w:rsidR="00AF5D47" w:rsidRPr="009D6B97"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120</w:t>
            </w:r>
          </w:p>
        </w:tc>
        <w:tc>
          <w:tcPr>
            <w:tcW w:w="1218" w:type="dxa"/>
            <w:tcBorders>
              <w:top w:val="nil"/>
              <w:left w:val="nil"/>
              <w:bottom w:val="single" w:sz="4" w:space="0" w:color="auto"/>
              <w:right w:val="nil"/>
            </w:tcBorders>
            <w:shd w:val="clear" w:color="auto" w:fill="auto"/>
          </w:tcPr>
          <w:p w14:paraId="409B1D55" w14:textId="77777777" w:rsidR="00AF5D47" w:rsidRPr="009D6B97" w:rsidRDefault="00F722B6"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90</w:t>
            </w:r>
          </w:p>
        </w:tc>
        <w:tc>
          <w:tcPr>
            <w:tcW w:w="1350" w:type="dxa"/>
            <w:tcBorders>
              <w:top w:val="nil"/>
              <w:left w:val="single" w:sz="8" w:space="0" w:color="auto"/>
              <w:bottom w:val="single" w:sz="4" w:space="0" w:color="auto"/>
              <w:right w:val="single" w:sz="8" w:space="0" w:color="auto"/>
            </w:tcBorders>
            <w:shd w:val="clear" w:color="auto" w:fill="00B050"/>
          </w:tcPr>
          <w:p w14:paraId="409B1D56" w14:textId="77777777" w:rsidR="00AF5D47" w:rsidRPr="001E0C31" w:rsidRDefault="00F722B6" w:rsidP="00F722B6">
            <w:pPr>
              <w:jc w:val="center"/>
              <w:rPr>
                <w:rFonts w:ascii="Calibri" w:eastAsia="Times New Roman" w:hAnsi="Calibri" w:cs="Calibri"/>
                <w:color w:val="FFFFFF" w:themeColor="background1"/>
                <w:sz w:val="22"/>
                <w:szCs w:val="22"/>
                <w:lang w:eastAsia="en-GB"/>
              </w:rPr>
            </w:pPr>
            <w:r w:rsidRPr="00F722B6">
              <w:rPr>
                <w:rFonts w:ascii="Calibri" w:eastAsia="Times New Roman" w:hAnsi="Calibri" w:cs="Calibri"/>
                <w:sz w:val="22"/>
                <w:szCs w:val="22"/>
                <w:lang w:eastAsia="en-GB"/>
              </w:rPr>
              <w:t>126</w:t>
            </w:r>
          </w:p>
        </w:tc>
        <w:tc>
          <w:tcPr>
            <w:tcW w:w="6379" w:type="dxa"/>
            <w:tcBorders>
              <w:top w:val="nil"/>
              <w:left w:val="nil"/>
              <w:bottom w:val="single" w:sz="4" w:space="0" w:color="auto"/>
              <w:right w:val="single" w:sz="8" w:space="0" w:color="auto"/>
            </w:tcBorders>
            <w:shd w:val="clear" w:color="auto" w:fill="auto"/>
          </w:tcPr>
          <w:p w14:paraId="409B1D57" w14:textId="77777777" w:rsidR="00AF5D47" w:rsidRDefault="00F722B6" w:rsidP="00AF5D47">
            <w:pPr>
              <w:rPr>
                <w:rFonts w:ascii="Calibri" w:eastAsia="Times New Roman" w:hAnsi="Calibri" w:cs="Calibri"/>
                <w:sz w:val="22"/>
                <w:szCs w:val="22"/>
                <w:lang w:eastAsia="en-GB"/>
              </w:rPr>
            </w:pPr>
            <w:r>
              <w:rPr>
                <w:rFonts w:ascii="Calibri" w:eastAsia="Times New Roman" w:hAnsi="Calibri" w:cs="Calibri"/>
                <w:sz w:val="22"/>
                <w:szCs w:val="22"/>
                <w:lang w:eastAsia="en-GB"/>
              </w:rPr>
              <w:t>YTD</w:t>
            </w:r>
            <w:r w:rsidRPr="00F722B6">
              <w:rPr>
                <w:rFonts w:ascii="Calibri" w:eastAsia="Times New Roman" w:hAnsi="Calibri" w:cs="Calibri"/>
                <w:sz w:val="22"/>
                <w:szCs w:val="22"/>
                <w:lang w:eastAsia="en-GB"/>
              </w:rPr>
              <w:t xml:space="preserve"> - homelessness has been prevented in 126 cases</w:t>
            </w:r>
            <w:r>
              <w:rPr>
                <w:rFonts w:ascii="Calibri" w:eastAsia="Times New Roman" w:hAnsi="Calibri" w:cs="Calibri"/>
                <w:sz w:val="22"/>
                <w:szCs w:val="22"/>
                <w:lang w:eastAsia="en-GB"/>
              </w:rPr>
              <w:t xml:space="preserve">. </w:t>
            </w:r>
          </w:p>
          <w:p w14:paraId="409B1D58" w14:textId="77777777" w:rsidR="00F722B6" w:rsidRPr="009D6B97" w:rsidRDefault="00F722B6" w:rsidP="00AF5D47">
            <w:pPr>
              <w:rPr>
                <w:rFonts w:ascii="Calibri" w:eastAsia="Times New Roman" w:hAnsi="Calibri" w:cs="Calibri"/>
                <w:sz w:val="22"/>
                <w:szCs w:val="22"/>
                <w:lang w:eastAsia="en-GB"/>
              </w:rPr>
            </w:pPr>
            <w:r>
              <w:rPr>
                <w:rFonts w:ascii="Calibri" w:eastAsia="Times New Roman" w:hAnsi="Calibri" w:cs="Calibri"/>
                <w:sz w:val="22"/>
                <w:szCs w:val="22"/>
                <w:lang w:eastAsia="en-GB"/>
              </w:rPr>
              <w:t>Monthly actual = 8</w:t>
            </w:r>
          </w:p>
        </w:tc>
      </w:tr>
      <w:tr w:rsidR="00AF5D47" w:rsidRPr="009D6B97" w14:paraId="409B1D61" w14:textId="77777777" w:rsidTr="00A164B5">
        <w:trPr>
          <w:trHeight w:val="1076"/>
        </w:trPr>
        <w:tc>
          <w:tcPr>
            <w:tcW w:w="1276" w:type="dxa"/>
            <w:vMerge w:val="restart"/>
            <w:tcBorders>
              <w:top w:val="nil"/>
              <w:left w:val="single" w:sz="8" w:space="0" w:color="auto"/>
              <w:bottom w:val="single" w:sz="4" w:space="0" w:color="auto"/>
              <w:right w:val="nil"/>
            </w:tcBorders>
            <w:shd w:val="clear" w:color="auto" w:fill="auto"/>
            <w:vAlign w:val="center"/>
            <w:hideMark/>
          </w:tcPr>
          <w:p w14:paraId="409B1D5A"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409B1D5B"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14:paraId="409B1D5C" w14:textId="77777777"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tcPr>
          <w:p w14:paraId="409B1D5D" w14:textId="77777777"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30</w:t>
            </w:r>
          </w:p>
        </w:tc>
        <w:tc>
          <w:tcPr>
            <w:tcW w:w="1218" w:type="dxa"/>
            <w:vMerge w:val="restart"/>
            <w:tcBorders>
              <w:top w:val="nil"/>
              <w:left w:val="nil"/>
              <w:bottom w:val="single" w:sz="4" w:space="0" w:color="auto"/>
              <w:right w:val="nil"/>
            </w:tcBorders>
            <w:shd w:val="clear" w:color="auto" w:fill="auto"/>
            <w:vAlign w:val="center"/>
          </w:tcPr>
          <w:p w14:paraId="409B1D5E" w14:textId="77777777" w:rsidR="00AF5D47" w:rsidRPr="00DE0C6E" w:rsidRDefault="007970B3" w:rsidP="007970B3">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30</w:t>
            </w:r>
          </w:p>
        </w:tc>
        <w:tc>
          <w:tcPr>
            <w:tcW w:w="1350" w:type="dxa"/>
            <w:vMerge w:val="restart"/>
            <w:tcBorders>
              <w:top w:val="nil"/>
              <w:left w:val="single" w:sz="8" w:space="0" w:color="auto"/>
              <w:bottom w:val="single" w:sz="4" w:space="0" w:color="auto"/>
              <w:right w:val="single" w:sz="8" w:space="0" w:color="auto"/>
            </w:tcBorders>
            <w:shd w:val="clear" w:color="auto" w:fill="00B050"/>
            <w:vAlign w:val="center"/>
          </w:tcPr>
          <w:p w14:paraId="409B1D5F" w14:textId="27BE80F7" w:rsidR="00AF5D47" w:rsidRPr="00924606" w:rsidRDefault="007120C2" w:rsidP="007970B3">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23</w:t>
            </w:r>
          </w:p>
        </w:tc>
        <w:tc>
          <w:tcPr>
            <w:tcW w:w="6379" w:type="dxa"/>
            <w:vMerge w:val="restart"/>
            <w:tcBorders>
              <w:top w:val="nil"/>
              <w:left w:val="nil"/>
              <w:bottom w:val="single" w:sz="4" w:space="0" w:color="auto"/>
              <w:right w:val="single" w:sz="8" w:space="0" w:color="auto"/>
            </w:tcBorders>
            <w:shd w:val="clear" w:color="auto" w:fill="auto"/>
            <w:vAlign w:val="center"/>
          </w:tcPr>
          <w:p w14:paraId="409B1D60" w14:textId="013FB55D" w:rsidR="00AF5D47" w:rsidRPr="009D6B97" w:rsidRDefault="002C47F7" w:rsidP="00AF5D47">
            <w:pPr>
              <w:rPr>
                <w:rFonts w:ascii="Calibri" w:eastAsia="Times New Roman" w:hAnsi="Calibri" w:cs="Calibri"/>
                <w:sz w:val="22"/>
                <w:szCs w:val="22"/>
                <w:lang w:eastAsia="en-GB"/>
              </w:rPr>
            </w:pPr>
            <w:r>
              <w:rPr>
                <w:rFonts w:ascii="Calibri" w:hAnsi="Calibri" w:cs="Calibri"/>
                <w:color w:val="000000"/>
                <w:sz w:val="22"/>
                <w:szCs w:val="22"/>
                <w:shd w:val="clear" w:color="auto" w:fill="FFFFFF"/>
              </w:rPr>
              <w:t>At the end of December 2023, 25 individuals were estimated to be sleeping rough in the city on a single night. 23 of these individuals did not have an accommodation offer, which means that they did not have any other option than to sleep rough on that night. This is broadly in line with previous quarters this year. Long waiting lists for supported accommodation in the city and districts contribute in part to there being limited immediate accommodation. We are also seeing a number of individuals who are sleeping out but who do have access to accommodation, and some who are refusing accommodation. We continue to see persons with no recourse to public funds sleeping rough in the city, and options to access accommodation for this group remains difficult. We are working closely with our outreach team to support these individuals. Overall, we have seen rough sleeping numbers steady over the last few months, with number in the mid to high twenties. The number of individuals we see sleeping rough in a month, has also been steady. During December, we saw a total of 58 individuals sleeping rough during the month. Over the quarter, a large number of those sleeping rough during any one month, are long-term rough sleepers. Interventions such as Housing First, MEAM, and the outreach services having 'navigators' and complex case workers in place, seek to find suitable sustainable solutions for individuals with a long history of rough sleeping, and who may need other forms of accommodation and associated support that is currently available.</w:t>
            </w:r>
          </w:p>
        </w:tc>
      </w:tr>
      <w:tr w:rsidR="00AF5D47" w:rsidRPr="009D6B97" w14:paraId="409B1D69" w14:textId="77777777" w:rsidTr="00A164B5">
        <w:trPr>
          <w:trHeight w:val="276"/>
        </w:trPr>
        <w:tc>
          <w:tcPr>
            <w:tcW w:w="1276" w:type="dxa"/>
            <w:vMerge/>
            <w:tcBorders>
              <w:top w:val="nil"/>
              <w:left w:val="single" w:sz="8" w:space="0" w:color="auto"/>
              <w:bottom w:val="single" w:sz="4" w:space="0" w:color="auto"/>
              <w:right w:val="nil"/>
            </w:tcBorders>
            <w:vAlign w:val="center"/>
            <w:hideMark/>
          </w:tcPr>
          <w:p w14:paraId="409B1D62" w14:textId="77777777"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409B1D63" w14:textId="77777777"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409B1D64"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shd w:val="clear" w:color="auto" w:fill="auto"/>
            <w:vAlign w:val="center"/>
          </w:tcPr>
          <w:p w14:paraId="409B1D65"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shd w:val="clear" w:color="auto" w:fill="auto"/>
            <w:vAlign w:val="center"/>
          </w:tcPr>
          <w:p w14:paraId="409B1D66" w14:textId="77777777"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00B050"/>
            <w:vAlign w:val="center"/>
          </w:tcPr>
          <w:p w14:paraId="409B1D67" w14:textId="77777777" w:rsidR="00AF5D47" w:rsidRPr="009D6B97" w:rsidRDefault="00AF5D47" w:rsidP="00AF5D4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tcPr>
          <w:p w14:paraId="409B1D68" w14:textId="77777777" w:rsidR="00AF5D47" w:rsidRPr="009D6B97" w:rsidRDefault="00AF5D47" w:rsidP="00AF5D47">
            <w:pPr>
              <w:rPr>
                <w:rFonts w:ascii="Calibri" w:eastAsia="Times New Roman" w:hAnsi="Calibri" w:cs="Calibri"/>
                <w:sz w:val="22"/>
                <w:szCs w:val="22"/>
                <w:lang w:eastAsia="en-GB"/>
              </w:rPr>
            </w:pPr>
          </w:p>
        </w:tc>
      </w:tr>
      <w:tr w:rsidR="0008120E" w:rsidRPr="009D6B97" w14:paraId="409B1D71" w14:textId="77777777" w:rsidTr="00A164B5">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409B1D6A" w14:textId="77777777"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lastRenderedPageBreak/>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09B1D6B" w14:textId="77777777"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14:paraId="409B1D6C" w14:textId="77777777"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tcPr>
          <w:p w14:paraId="409B1D6D" w14:textId="77777777" w:rsidR="0008120E" w:rsidRPr="00924606" w:rsidRDefault="0008120E" w:rsidP="0008120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30%</w:t>
            </w:r>
          </w:p>
        </w:tc>
        <w:tc>
          <w:tcPr>
            <w:tcW w:w="1218" w:type="dxa"/>
            <w:vMerge w:val="restart"/>
            <w:tcBorders>
              <w:top w:val="nil"/>
              <w:left w:val="nil"/>
              <w:bottom w:val="single" w:sz="8" w:space="0" w:color="000000"/>
              <w:right w:val="nil"/>
            </w:tcBorders>
            <w:shd w:val="clear" w:color="auto" w:fill="auto"/>
            <w:noWrap/>
            <w:vAlign w:val="center"/>
          </w:tcPr>
          <w:p w14:paraId="409B1D6E" w14:textId="77777777" w:rsidR="0008120E" w:rsidRDefault="00D70724" w:rsidP="0008120E">
            <w:pPr>
              <w:jc w:val="center"/>
              <w:rPr>
                <w:color w:val="000000"/>
                <w:sz w:val="20"/>
                <w:szCs w:val="20"/>
              </w:rPr>
            </w:pPr>
            <w:r>
              <w:rPr>
                <w:color w:val="000000"/>
                <w:sz w:val="20"/>
                <w:szCs w:val="20"/>
              </w:rPr>
              <w:t>-</w:t>
            </w:r>
          </w:p>
        </w:tc>
        <w:tc>
          <w:tcPr>
            <w:tcW w:w="1350" w:type="dxa"/>
            <w:vMerge w:val="restart"/>
            <w:tcBorders>
              <w:top w:val="nil"/>
              <w:left w:val="single" w:sz="8" w:space="0" w:color="auto"/>
              <w:bottom w:val="single" w:sz="8" w:space="0" w:color="000000"/>
              <w:right w:val="single" w:sz="8" w:space="0" w:color="auto"/>
            </w:tcBorders>
            <w:shd w:val="clear" w:color="auto" w:fill="00B050"/>
            <w:vAlign w:val="center"/>
          </w:tcPr>
          <w:p w14:paraId="409B1D6F" w14:textId="77777777" w:rsidR="0008120E" w:rsidRPr="0008120E" w:rsidRDefault="00D70724" w:rsidP="0008120E">
            <w:pPr>
              <w:jc w:val="center"/>
              <w:rPr>
                <w:bCs/>
                <w:color w:val="000000"/>
                <w:sz w:val="20"/>
                <w:szCs w:val="20"/>
              </w:rPr>
            </w:pPr>
            <w:r>
              <w:rPr>
                <w:bCs/>
                <w:color w:val="000000"/>
                <w:sz w:val="20"/>
                <w:szCs w:val="20"/>
              </w:rPr>
              <w:t>-</w:t>
            </w:r>
          </w:p>
        </w:tc>
        <w:tc>
          <w:tcPr>
            <w:tcW w:w="6379" w:type="dxa"/>
            <w:vMerge w:val="restart"/>
            <w:tcBorders>
              <w:top w:val="nil"/>
              <w:left w:val="nil"/>
              <w:bottom w:val="single" w:sz="8" w:space="0" w:color="000000"/>
              <w:right w:val="single" w:sz="8" w:space="0" w:color="auto"/>
            </w:tcBorders>
            <w:shd w:val="clear" w:color="auto" w:fill="auto"/>
            <w:vAlign w:val="center"/>
          </w:tcPr>
          <w:p w14:paraId="409B1D70" w14:textId="2073C6A2" w:rsidR="0008120E" w:rsidRDefault="003C0240" w:rsidP="003718EF">
            <w:pPr>
              <w:rPr>
                <w:color w:val="000000"/>
                <w:sz w:val="20"/>
                <w:szCs w:val="20"/>
              </w:rPr>
            </w:pPr>
            <w:r>
              <w:rPr>
                <w:rFonts w:ascii="Calibri" w:hAnsi="Calibri" w:cs="Calibri"/>
                <w:color w:val="000000"/>
                <w:sz w:val="22"/>
                <w:szCs w:val="22"/>
                <w:shd w:val="clear" w:color="auto" w:fill="FFFFFF"/>
              </w:rPr>
              <w:t>The Council has a corporate target of completing 1,600 affordable homes, across all tenures, for the next four financial years (23/24 - 26/27). As at the end of December 2023 the forecast programme is currently 1,625 homes to be delivered over this period. This has increased from Q2. 108 affordable homes have been delivered to date this year with an additional 30 homes anticipated to be delivered in 2023/24. Note: Five of the S/R units are refurbished and are not included as new delivery in LAHS figures.</w:t>
            </w:r>
          </w:p>
        </w:tc>
      </w:tr>
      <w:tr w:rsidR="00AF5D47" w:rsidRPr="009D6B97" w14:paraId="409B1D79" w14:textId="77777777" w:rsidTr="00A164B5">
        <w:trPr>
          <w:trHeight w:val="276"/>
        </w:trPr>
        <w:tc>
          <w:tcPr>
            <w:tcW w:w="1276" w:type="dxa"/>
            <w:vMerge/>
            <w:tcBorders>
              <w:top w:val="nil"/>
              <w:left w:val="single" w:sz="8" w:space="0" w:color="auto"/>
              <w:bottom w:val="single" w:sz="8" w:space="0" w:color="000000"/>
              <w:right w:val="nil"/>
            </w:tcBorders>
            <w:vAlign w:val="center"/>
            <w:hideMark/>
          </w:tcPr>
          <w:p w14:paraId="409B1D72" w14:textId="77777777"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14:paraId="409B1D73" w14:textId="77777777"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14:paraId="409B1D74"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8" w:space="0" w:color="000000"/>
              <w:right w:val="single" w:sz="8" w:space="0" w:color="auto"/>
            </w:tcBorders>
            <w:shd w:val="clear" w:color="auto" w:fill="auto"/>
            <w:vAlign w:val="center"/>
          </w:tcPr>
          <w:p w14:paraId="409B1D75"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8" w:space="0" w:color="000000"/>
              <w:right w:val="nil"/>
            </w:tcBorders>
            <w:shd w:val="clear" w:color="auto" w:fill="auto"/>
            <w:vAlign w:val="center"/>
          </w:tcPr>
          <w:p w14:paraId="409B1D76" w14:textId="77777777"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8" w:space="0" w:color="000000"/>
              <w:right w:val="single" w:sz="8" w:space="0" w:color="auto"/>
            </w:tcBorders>
            <w:shd w:val="clear" w:color="auto" w:fill="00B050"/>
            <w:vAlign w:val="center"/>
          </w:tcPr>
          <w:p w14:paraId="409B1D77" w14:textId="77777777" w:rsidR="00AF5D47" w:rsidRPr="009D6B97" w:rsidRDefault="00AF5D47" w:rsidP="00AF5D47">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tcPr>
          <w:p w14:paraId="409B1D78" w14:textId="77777777" w:rsidR="00AF5D47" w:rsidRPr="009D6B97" w:rsidRDefault="00AF5D47" w:rsidP="00AF5D47">
            <w:pPr>
              <w:rPr>
                <w:rFonts w:ascii="Calibri" w:eastAsia="Times New Roman" w:hAnsi="Calibri" w:cs="Calibri"/>
                <w:sz w:val="22"/>
                <w:szCs w:val="22"/>
                <w:lang w:eastAsia="en-GB"/>
              </w:rPr>
            </w:pPr>
          </w:p>
        </w:tc>
      </w:tr>
      <w:tr w:rsidR="00AF5D47" w:rsidRPr="001E0C31" w14:paraId="409B1D82" w14:textId="77777777" w:rsidTr="00A164B5">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14:paraId="409B1D7A" w14:textId="77777777"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B1D7B" w14:textId="77777777"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14:paraId="409B1D7C" w14:textId="77777777" w:rsidR="00FD571A" w:rsidRDefault="00AF5D47" w:rsidP="00AF5D47">
            <w:pPr>
              <w:rPr>
                <w:rFonts w:ascii="Calibri" w:hAnsi="Calibri" w:cs="Calibri"/>
                <w:color w:val="000000"/>
                <w:sz w:val="22"/>
                <w:szCs w:val="22"/>
              </w:rPr>
            </w:pPr>
            <w:r w:rsidRPr="00DE0C6E">
              <w:rPr>
                <w:rFonts w:ascii="Calibri" w:hAnsi="Calibri" w:cs="Calibri"/>
                <w:color w:val="000000"/>
                <w:sz w:val="22"/>
                <w:szCs w:val="22"/>
              </w:rPr>
              <w:t xml:space="preserve">Nerys </w:t>
            </w:r>
          </w:p>
          <w:p w14:paraId="409B1D7D" w14:textId="77777777"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t>Parry</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B1D7E" w14:textId="77777777" w:rsidR="00AF5D47" w:rsidRPr="00DE0C6E" w:rsidRDefault="0008120E" w:rsidP="00AF5D47">
            <w:pPr>
              <w:jc w:val="center"/>
              <w:rPr>
                <w:rFonts w:ascii="Calibri" w:hAnsi="Calibri" w:cs="Calibri"/>
                <w:color w:val="000000"/>
                <w:sz w:val="22"/>
                <w:szCs w:val="22"/>
              </w:rPr>
            </w:pPr>
            <w:r>
              <w:rPr>
                <w:rFonts w:ascii="Calibri" w:hAnsi="Calibri" w:cs="Calibri"/>
                <w:color w:val="000000"/>
                <w:sz w:val="22"/>
                <w:szCs w:val="22"/>
              </w:rPr>
              <w:t>120</w:t>
            </w:r>
          </w:p>
        </w:tc>
        <w:tc>
          <w:tcPr>
            <w:tcW w:w="1218" w:type="dxa"/>
            <w:tcBorders>
              <w:top w:val="single" w:sz="8" w:space="0" w:color="auto"/>
              <w:left w:val="nil"/>
              <w:bottom w:val="single" w:sz="8" w:space="0" w:color="auto"/>
              <w:right w:val="nil"/>
            </w:tcBorders>
            <w:shd w:val="clear" w:color="auto" w:fill="auto"/>
            <w:vAlign w:val="center"/>
            <w:hideMark/>
          </w:tcPr>
          <w:p w14:paraId="409B1D7F" w14:textId="77777777" w:rsidR="00AF5D47" w:rsidRPr="00DE0C6E" w:rsidRDefault="0008120E" w:rsidP="0008120E">
            <w:pPr>
              <w:jc w:val="center"/>
              <w:rPr>
                <w:rFonts w:ascii="Calibri" w:hAnsi="Calibri" w:cs="Calibri"/>
                <w:color w:val="000000"/>
                <w:sz w:val="22"/>
                <w:szCs w:val="22"/>
              </w:rPr>
            </w:pPr>
            <w:r>
              <w:rPr>
                <w:rFonts w:ascii="Calibri" w:hAnsi="Calibri" w:cs="Calibri"/>
                <w:color w:val="000000"/>
                <w:sz w:val="22"/>
                <w:szCs w:val="22"/>
              </w:rPr>
              <w:t>120</w:t>
            </w:r>
          </w:p>
        </w:tc>
        <w:tc>
          <w:tcPr>
            <w:tcW w:w="1350" w:type="dxa"/>
            <w:tcBorders>
              <w:top w:val="single" w:sz="8" w:space="0" w:color="auto"/>
              <w:left w:val="single" w:sz="8" w:space="0" w:color="auto"/>
              <w:bottom w:val="single" w:sz="8" w:space="0" w:color="auto"/>
              <w:right w:val="single" w:sz="8" w:space="0" w:color="auto"/>
            </w:tcBorders>
            <w:shd w:val="clear" w:color="auto" w:fill="FF0000"/>
            <w:vAlign w:val="center"/>
            <w:hideMark/>
          </w:tcPr>
          <w:p w14:paraId="409B1D80" w14:textId="3FA145F6" w:rsidR="00AF5D47" w:rsidRPr="00DE0C6E" w:rsidRDefault="00223534" w:rsidP="00AF5D47">
            <w:pPr>
              <w:jc w:val="center"/>
              <w:rPr>
                <w:rFonts w:ascii="Calibri" w:hAnsi="Calibri" w:cs="Calibri"/>
                <w:color w:val="000000"/>
                <w:sz w:val="22"/>
                <w:szCs w:val="22"/>
              </w:rPr>
            </w:pPr>
            <w:r>
              <w:rPr>
                <w:rFonts w:ascii="Calibri" w:hAnsi="Calibri" w:cs="Calibri"/>
                <w:color w:val="000000"/>
                <w:sz w:val="22"/>
                <w:szCs w:val="22"/>
              </w:rPr>
              <w:t>197</w:t>
            </w:r>
          </w:p>
        </w:tc>
        <w:tc>
          <w:tcPr>
            <w:tcW w:w="6379" w:type="dxa"/>
            <w:tcBorders>
              <w:top w:val="single" w:sz="8" w:space="0" w:color="auto"/>
              <w:left w:val="nil"/>
              <w:bottom w:val="single" w:sz="8" w:space="0" w:color="auto"/>
              <w:right w:val="single" w:sz="8" w:space="0" w:color="auto"/>
            </w:tcBorders>
            <w:shd w:val="clear" w:color="auto" w:fill="auto"/>
            <w:vAlign w:val="center"/>
          </w:tcPr>
          <w:p w14:paraId="0034177A" w14:textId="77777777" w:rsidR="00223534" w:rsidRPr="00223534" w:rsidRDefault="00223534" w:rsidP="00223534">
            <w:pPr>
              <w:shd w:val="clear" w:color="auto" w:fill="FFFFFF"/>
              <w:rPr>
                <w:rFonts w:ascii="Calibri" w:eastAsia="Times New Roman" w:hAnsi="Calibri" w:cs="Calibri"/>
                <w:color w:val="000000"/>
                <w:sz w:val="22"/>
                <w:szCs w:val="22"/>
                <w:lang w:eastAsia="en-GB"/>
              </w:rPr>
            </w:pPr>
            <w:r w:rsidRPr="00223534">
              <w:rPr>
                <w:rFonts w:ascii="Calibri" w:eastAsia="Times New Roman" w:hAnsi="Calibri" w:cs="Calibri"/>
                <w:color w:val="000000"/>
                <w:sz w:val="22"/>
                <w:szCs w:val="22"/>
                <w:lang w:eastAsia="en-GB"/>
              </w:rPr>
              <w:t>As we have reported in the last two quarters demand on homeless services has remained high with an average of 8.5 households requiring placement into TA on a weekly basis (in 21/22 our weekly average was 3.42 and in 22/23 our weekly average was 4.28). As of the end of December this financial year we had made a total of 346 placements into TA, this is significantly higher than the 227 we placed for the whole of the last financial year. This is driven by rapidly increasing homelessness in the city, in the months of Oct, Nov and Dec alone 125 households were accepted as homeless and we accepted a legal duty to rehouse them.</w:t>
            </w:r>
          </w:p>
          <w:p w14:paraId="6975645B" w14:textId="77777777" w:rsidR="00223534" w:rsidRPr="00223534" w:rsidRDefault="00223534" w:rsidP="00223534">
            <w:pPr>
              <w:shd w:val="clear" w:color="auto" w:fill="FFFFFF"/>
              <w:rPr>
                <w:rFonts w:ascii="Calibri" w:eastAsia="Times New Roman" w:hAnsi="Calibri" w:cs="Calibri"/>
                <w:color w:val="000000"/>
                <w:sz w:val="22"/>
                <w:szCs w:val="22"/>
                <w:lang w:eastAsia="en-GB"/>
              </w:rPr>
            </w:pPr>
            <w:r w:rsidRPr="00223534">
              <w:rPr>
                <w:rFonts w:ascii="Calibri" w:eastAsia="Times New Roman" w:hAnsi="Calibri" w:cs="Calibri"/>
                <w:color w:val="000000"/>
                <w:sz w:val="22"/>
                <w:szCs w:val="22"/>
                <w:lang w:eastAsia="en-GB"/>
              </w:rPr>
              <w:t xml:space="preserve">We have recruited to additional posts across the service to support the increase in demand and to focus on early upstream prevention. Work on establishing a TA private sector leasing model, to increase our stock in response to the increase in demand, is well under way and we hope that this will be operational in January with first units coming on board. </w:t>
            </w:r>
          </w:p>
          <w:p w14:paraId="409B1D81" w14:textId="530BFE90" w:rsidR="00AF5D47" w:rsidRPr="007120C2" w:rsidRDefault="00223534" w:rsidP="007120C2">
            <w:pPr>
              <w:shd w:val="clear" w:color="auto" w:fill="FFFFFF"/>
              <w:rPr>
                <w:rFonts w:ascii="Calibri" w:eastAsia="Times New Roman" w:hAnsi="Calibri" w:cs="Calibri"/>
                <w:color w:val="000000"/>
                <w:sz w:val="22"/>
                <w:szCs w:val="22"/>
                <w:lang w:eastAsia="en-GB"/>
              </w:rPr>
            </w:pPr>
            <w:r w:rsidRPr="00223534">
              <w:rPr>
                <w:rFonts w:ascii="Calibri" w:eastAsia="Times New Roman" w:hAnsi="Calibri" w:cs="Calibri"/>
                <w:color w:val="000000"/>
                <w:sz w:val="22"/>
                <w:szCs w:val="22"/>
                <w:lang w:eastAsia="en-GB"/>
              </w:rPr>
              <w:t>This pattern is being seen across Local Government, and is why the Government in the Autumn statement announced a new package of support with an increase in the LHA and further grant funding to Local Government for homeless</w:t>
            </w:r>
            <w:bookmarkStart w:id="0" w:name="_GoBack"/>
            <w:bookmarkEnd w:id="0"/>
            <w:r w:rsidRPr="00223534">
              <w:rPr>
                <w:rFonts w:ascii="Calibri" w:eastAsia="Times New Roman" w:hAnsi="Calibri" w:cs="Calibri"/>
                <w:color w:val="000000"/>
                <w:sz w:val="22"/>
                <w:szCs w:val="22"/>
                <w:lang w:eastAsia="en-GB"/>
              </w:rPr>
              <w:t>ness prevention. We benchmark ourselves against other similar LAs in a housing peer group, and we continue to have the lowest per capita TA use of the group.</w:t>
            </w:r>
          </w:p>
        </w:tc>
      </w:tr>
      <w:tr w:rsidR="00AF5D47" w:rsidRPr="009D6B97" w14:paraId="409B1D8A" w14:textId="77777777" w:rsidTr="00FD571A">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14:paraId="409B1D83" w14:textId="77777777" w:rsidR="00AF5D47" w:rsidRPr="00DE0C6E" w:rsidRDefault="00AF5D47" w:rsidP="00AF5D47">
            <w:pP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409B1D84" w14:textId="77777777" w:rsidR="00AF5D47" w:rsidRPr="00DE0C6E" w:rsidRDefault="00FD571A" w:rsidP="00AF5D47">
            <w:pPr>
              <w:rPr>
                <w:rFonts w:ascii="Calibri" w:eastAsia="Times New Roman" w:hAnsi="Calibri" w:cs="Calibri"/>
                <w:sz w:val="22"/>
                <w:szCs w:val="22"/>
                <w:lang w:eastAsia="en-GB"/>
              </w:rPr>
            </w:pPr>
            <w:r>
              <w:rPr>
                <w:rFonts w:ascii="Calibri" w:eastAsia="Times New Roman" w:hAnsi="Calibri" w:cs="Calibri"/>
                <w:sz w:val="22"/>
                <w:szCs w:val="22"/>
                <w:lang w:eastAsia="en-GB"/>
              </w:rPr>
              <w:t>% staff from ethnic minority groups</w:t>
            </w:r>
          </w:p>
        </w:tc>
        <w:tc>
          <w:tcPr>
            <w:tcW w:w="1276" w:type="dxa"/>
            <w:vMerge w:val="restart"/>
            <w:tcBorders>
              <w:top w:val="nil"/>
              <w:left w:val="nil"/>
              <w:bottom w:val="single" w:sz="4" w:space="0" w:color="auto"/>
              <w:right w:val="nil"/>
            </w:tcBorders>
            <w:shd w:val="clear" w:color="auto" w:fill="auto"/>
            <w:vAlign w:val="center"/>
            <w:hideMark/>
          </w:tcPr>
          <w:p w14:paraId="409B1D85" w14:textId="77777777" w:rsidR="00AF5D47" w:rsidRPr="00DE0C6E" w:rsidRDefault="00AF5D47" w:rsidP="00AF5D47">
            <w:pP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409B1D86" w14:textId="77777777"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15</w:t>
            </w:r>
          </w:p>
        </w:tc>
        <w:tc>
          <w:tcPr>
            <w:tcW w:w="1218" w:type="dxa"/>
            <w:vMerge w:val="restart"/>
            <w:tcBorders>
              <w:top w:val="nil"/>
              <w:left w:val="nil"/>
              <w:bottom w:val="single" w:sz="4" w:space="0" w:color="auto"/>
              <w:right w:val="nil"/>
            </w:tcBorders>
            <w:shd w:val="clear" w:color="auto" w:fill="auto"/>
            <w:noWrap/>
            <w:vAlign w:val="center"/>
            <w:hideMark/>
          </w:tcPr>
          <w:p w14:paraId="409B1D87" w14:textId="77777777" w:rsidR="00AF5D47" w:rsidRPr="00DE0C6E" w:rsidRDefault="00FD571A"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14.8</w:t>
            </w:r>
          </w:p>
        </w:tc>
        <w:tc>
          <w:tcPr>
            <w:tcW w:w="1350" w:type="dxa"/>
            <w:vMerge w:val="restart"/>
            <w:tcBorders>
              <w:top w:val="nil"/>
              <w:left w:val="single" w:sz="8" w:space="0" w:color="auto"/>
              <w:bottom w:val="single" w:sz="4" w:space="0" w:color="auto"/>
              <w:right w:val="single" w:sz="8" w:space="0" w:color="auto"/>
            </w:tcBorders>
            <w:shd w:val="clear" w:color="auto" w:fill="FFC000"/>
            <w:vAlign w:val="center"/>
            <w:hideMark/>
          </w:tcPr>
          <w:p w14:paraId="409B1D88" w14:textId="77777777" w:rsidR="00AF5D47" w:rsidRPr="00DE0C6E" w:rsidRDefault="00FD571A"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14.32%</w:t>
            </w:r>
          </w:p>
        </w:tc>
        <w:tc>
          <w:tcPr>
            <w:tcW w:w="6379" w:type="dxa"/>
            <w:tcBorders>
              <w:top w:val="nil"/>
              <w:left w:val="nil"/>
              <w:right w:val="single" w:sz="8" w:space="0" w:color="auto"/>
            </w:tcBorders>
            <w:shd w:val="clear" w:color="auto" w:fill="auto"/>
            <w:vAlign w:val="center"/>
            <w:hideMark/>
          </w:tcPr>
          <w:p w14:paraId="409B1D89" w14:textId="77777777" w:rsidR="00AF5D47" w:rsidRPr="009D6B97" w:rsidRDefault="00AF5D47" w:rsidP="00AF5D47">
            <w:pPr>
              <w:rPr>
                <w:rFonts w:ascii="Calibri" w:eastAsia="Times New Roman" w:hAnsi="Calibri" w:cs="Calibri"/>
                <w:sz w:val="22"/>
                <w:szCs w:val="22"/>
                <w:lang w:eastAsia="en-GB"/>
              </w:rPr>
            </w:pPr>
          </w:p>
        </w:tc>
      </w:tr>
      <w:tr w:rsidR="00AF5D47" w:rsidRPr="009D6B97" w14:paraId="409B1D96" w14:textId="77777777" w:rsidTr="00FD571A">
        <w:trPr>
          <w:trHeight w:val="744"/>
        </w:trPr>
        <w:tc>
          <w:tcPr>
            <w:tcW w:w="1276" w:type="dxa"/>
            <w:vMerge/>
            <w:tcBorders>
              <w:top w:val="nil"/>
              <w:left w:val="single" w:sz="8" w:space="0" w:color="auto"/>
              <w:bottom w:val="single" w:sz="4" w:space="0" w:color="auto"/>
              <w:right w:val="nil"/>
            </w:tcBorders>
            <w:vAlign w:val="center"/>
            <w:hideMark/>
          </w:tcPr>
          <w:p w14:paraId="409B1D8B" w14:textId="77777777"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409B1D8C" w14:textId="77777777"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409B1D8D"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shd w:val="clear" w:color="auto" w:fill="auto"/>
            <w:vAlign w:val="center"/>
            <w:hideMark/>
          </w:tcPr>
          <w:p w14:paraId="409B1D8E" w14:textId="77777777"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shd w:val="clear" w:color="auto" w:fill="auto"/>
            <w:vAlign w:val="center"/>
            <w:hideMark/>
          </w:tcPr>
          <w:p w14:paraId="409B1D8F" w14:textId="77777777"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FFC000"/>
            <w:vAlign w:val="center"/>
            <w:hideMark/>
          </w:tcPr>
          <w:p w14:paraId="409B1D90" w14:textId="77777777" w:rsidR="00AF5D47" w:rsidRPr="009D6B97" w:rsidRDefault="00AF5D47" w:rsidP="00AF5D4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409B1D91" w14:textId="77777777" w:rsidR="00FD571A" w:rsidRPr="00CA7AAD" w:rsidRDefault="00FD571A" w:rsidP="00FD571A">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0"/>
                <w:szCs w:val="20"/>
              </w:rPr>
              <w:t> </w:t>
            </w:r>
            <w:r w:rsidRPr="00CA7AAD">
              <w:rPr>
                <w:rFonts w:ascii="Calibri" w:hAnsi="Calibri" w:cs="Calibri"/>
                <w:sz w:val="22"/>
                <w:szCs w:val="22"/>
              </w:rPr>
              <w:t>Workforce equalities report sets out actions to continue to: </w:t>
            </w:r>
          </w:p>
          <w:p w14:paraId="409B1D92" w14:textId="77777777" w:rsidR="00FD571A" w:rsidRPr="00CA7AAD" w:rsidRDefault="00FD571A" w:rsidP="00FD571A">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CA7AAD">
              <w:rPr>
                <w:rFonts w:ascii="Calibri" w:hAnsi="Calibri" w:cs="Calibri"/>
                <w:sz w:val="22"/>
                <w:szCs w:val="22"/>
              </w:rPr>
              <w:t>Improve diversity of our workforce by building inclusive recruitment practices to improve the diversity of candidates and recruits and offering development for aspiring managers </w:t>
            </w:r>
          </w:p>
          <w:p w14:paraId="409B1D93" w14:textId="77777777" w:rsidR="00FD571A" w:rsidRPr="00CA7AAD" w:rsidRDefault="00FD571A" w:rsidP="00FD571A">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CA7AAD">
              <w:rPr>
                <w:rFonts w:ascii="Calibri" w:hAnsi="Calibri" w:cs="Calibri"/>
                <w:sz w:val="22"/>
                <w:szCs w:val="22"/>
              </w:rPr>
              <w:t>Build inclusive leadership practices and culture. </w:t>
            </w:r>
          </w:p>
          <w:p w14:paraId="409B1D94" w14:textId="77777777" w:rsidR="00FD571A" w:rsidRPr="00CA7AAD" w:rsidRDefault="00FD571A" w:rsidP="00FD571A">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CA7AAD">
              <w:rPr>
                <w:rFonts w:ascii="Calibri" w:hAnsi="Calibri" w:cs="Calibri"/>
                <w:sz w:val="22"/>
                <w:szCs w:val="22"/>
              </w:rPr>
              <w:t>Improve the understanding of our workforce and individual employee experiences </w:t>
            </w:r>
          </w:p>
          <w:p w14:paraId="409B1D95" w14:textId="77777777" w:rsidR="00AF5D47" w:rsidRPr="009D6B97" w:rsidRDefault="00AF5D47" w:rsidP="00AF5D47">
            <w:pPr>
              <w:rPr>
                <w:rFonts w:ascii="Calibri" w:eastAsia="Times New Roman" w:hAnsi="Calibri" w:cs="Calibri"/>
                <w:sz w:val="22"/>
                <w:szCs w:val="22"/>
                <w:lang w:eastAsia="en-GB"/>
              </w:rPr>
            </w:pPr>
          </w:p>
        </w:tc>
      </w:tr>
    </w:tbl>
    <w:p w14:paraId="409B1D97" w14:textId="77777777"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1D9A" w14:textId="77777777" w:rsidR="006545AE" w:rsidRDefault="006545AE" w:rsidP="007D5CD7">
      <w:r>
        <w:separator/>
      </w:r>
    </w:p>
  </w:endnote>
  <w:endnote w:type="continuationSeparator" w:id="0">
    <w:p w14:paraId="409B1D9B" w14:textId="77777777" w:rsidR="006545AE" w:rsidRDefault="006545AE"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1D98" w14:textId="77777777" w:rsidR="006545AE" w:rsidRDefault="006545AE" w:rsidP="007D5CD7">
      <w:r>
        <w:separator/>
      </w:r>
    </w:p>
  </w:footnote>
  <w:footnote w:type="continuationSeparator" w:id="0">
    <w:p w14:paraId="409B1D99" w14:textId="77777777" w:rsidR="006545AE" w:rsidRDefault="006545AE" w:rsidP="007D5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846CE"/>
    <w:multiLevelType w:val="multilevel"/>
    <w:tmpl w:val="236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64722"/>
    <w:rsid w:val="0008120E"/>
    <w:rsid w:val="00085006"/>
    <w:rsid w:val="000A58FA"/>
    <w:rsid w:val="000B4310"/>
    <w:rsid w:val="001106F6"/>
    <w:rsid w:val="00176585"/>
    <w:rsid w:val="001D4EA1"/>
    <w:rsid w:val="001E0C31"/>
    <w:rsid w:val="00203A7E"/>
    <w:rsid w:val="00223534"/>
    <w:rsid w:val="00233353"/>
    <w:rsid w:val="002570E6"/>
    <w:rsid w:val="002A09F8"/>
    <w:rsid w:val="002C47F7"/>
    <w:rsid w:val="002F5DF3"/>
    <w:rsid w:val="00312AB7"/>
    <w:rsid w:val="003266C4"/>
    <w:rsid w:val="003718EF"/>
    <w:rsid w:val="00385EBF"/>
    <w:rsid w:val="003B12E7"/>
    <w:rsid w:val="003C0240"/>
    <w:rsid w:val="003D2518"/>
    <w:rsid w:val="003E3F9B"/>
    <w:rsid w:val="004000D7"/>
    <w:rsid w:val="00441583"/>
    <w:rsid w:val="004746DC"/>
    <w:rsid w:val="0048307F"/>
    <w:rsid w:val="00485ED0"/>
    <w:rsid w:val="004C4C9B"/>
    <w:rsid w:val="004D3903"/>
    <w:rsid w:val="004E07FE"/>
    <w:rsid w:val="004E1E46"/>
    <w:rsid w:val="00504E43"/>
    <w:rsid w:val="00596351"/>
    <w:rsid w:val="005D78F9"/>
    <w:rsid w:val="005F17FD"/>
    <w:rsid w:val="005F5751"/>
    <w:rsid w:val="0061162A"/>
    <w:rsid w:val="006363B1"/>
    <w:rsid w:val="006545AE"/>
    <w:rsid w:val="006557D0"/>
    <w:rsid w:val="0067307A"/>
    <w:rsid w:val="00687061"/>
    <w:rsid w:val="006D574C"/>
    <w:rsid w:val="006E201D"/>
    <w:rsid w:val="007120C2"/>
    <w:rsid w:val="007908F4"/>
    <w:rsid w:val="00791657"/>
    <w:rsid w:val="007970B3"/>
    <w:rsid w:val="007B2A8E"/>
    <w:rsid w:val="007B3E61"/>
    <w:rsid w:val="007D15FE"/>
    <w:rsid w:val="007D5CD7"/>
    <w:rsid w:val="00846DE5"/>
    <w:rsid w:val="008A22C6"/>
    <w:rsid w:val="008C111C"/>
    <w:rsid w:val="008F56D7"/>
    <w:rsid w:val="008F66E7"/>
    <w:rsid w:val="00900E14"/>
    <w:rsid w:val="00924606"/>
    <w:rsid w:val="009547E1"/>
    <w:rsid w:val="00981E01"/>
    <w:rsid w:val="00984574"/>
    <w:rsid w:val="00997A66"/>
    <w:rsid w:val="009B7B6E"/>
    <w:rsid w:val="009D34F4"/>
    <w:rsid w:val="009D6B97"/>
    <w:rsid w:val="009F2CF6"/>
    <w:rsid w:val="00A10B11"/>
    <w:rsid w:val="00A164B5"/>
    <w:rsid w:val="00A20D87"/>
    <w:rsid w:val="00A72F2C"/>
    <w:rsid w:val="00A85E4C"/>
    <w:rsid w:val="00AC5BC1"/>
    <w:rsid w:val="00AE119A"/>
    <w:rsid w:val="00AF5603"/>
    <w:rsid w:val="00AF594C"/>
    <w:rsid w:val="00AF5D47"/>
    <w:rsid w:val="00B10C79"/>
    <w:rsid w:val="00B34F03"/>
    <w:rsid w:val="00B62CF8"/>
    <w:rsid w:val="00BC306E"/>
    <w:rsid w:val="00BD2DA1"/>
    <w:rsid w:val="00BE5909"/>
    <w:rsid w:val="00C07F80"/>
    <w:rsid w:val="00C12713"/>
    <w:rsid w:val="00C14CED"/>
    <w:rsid w:val="00CA26D2"/>
    <w:rsid w:val="00CA7AAD"/>
    <w:rsid w:val="00CB1069"/>
    <w:rsid w:val="00CC604C"/>
    <w:rsid w:val="00CD3554"/>
    <w:rsid w:val="00CE012A"/>
    <w:rsid w:val="00CE6277"/>
    <w:rsid w:val="00D255C9"/>
    <w:rsid w:val="00D70724"/>
    <w:rsid w:val="00DD0D0B"/>
    <w:rsid w:val="00DE0C6E"/>
    <w:rsid w:val="00E47E8C"/>
    <w:rsid w:val="00E508F8"/>
    <w:rsid w:val="00EA1DE2"/>
    <w:rsid w:val="00EC5E19"/>
    <w:rsid w:val="00F15EDA"/>
    <w:rsid w:val="00F54F2A"/>
    <w:rsid w:val="00F702C3"/>
    <w:rsid w:val="00F722B6"/>
    <w:rsid w:val="00FD3A85"/>
    <w:rsid w:val="00FD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1CB2"/>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 w:type="character" w:customStyle="1" w:styleId="normaltextrun">
    <w:name w:val="normaltextrun"/>
    <w:basedOn w:val="DefaultParagraphFont"/>
    <w:rsid w:val="00233353"/>
  </w:style>
  <w:style w:type="character" w:customStyle="1" w:styleId="eop">
    <w:name w:val="eop"/>
    <w:basedOn w:val="DefaultParagraphFont"/>
    <w:rsid w:val="00233353"/>
  </w:style>
  <w:style w:type="paragraph" w:customStyle="1" w:styleId="paragraph">
    <w:name w:val="paragraph"/>
    <w:basedOn w:val="Normal"/>
    <w:rsid w:val="00FD571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758454445">
      <w:bodyDiv w:val="1"/>
      <w:marLeft w:val="0"/>
      <w:marRight w:val="0"/>
      <w:marTop w:val="0"/>
      <w:marBottom w:val="0"/>
      <w:divBdr>
        <w:top w:val="none" w:sz="0" w:space="0" w:color="auto"/>
        <w:left w:val="none" w:sz="0" w:space="0" w:color="auto"/>
        <w:bottom w:val="none" w:sz="0" w:space="0" w:color="auto"/>
        <w:right w:val="none" w:sz="0" w:space="0" w:color="auto"/>
      </w:divBdr>
      <w:divsChild>
        <w:div w:id="91436173">
          <w:marLeft w:val="0"/>
          <w:marRight w:val="0"/>
          <w:marTop w:val="0"/>
          <w:marBottom w:val="0"/>
          <w:divBdr>
            <w:top w:val="none" w:sz="0" w:space="0" w:color="auto"/>
            <w:left w:val="none" w:sz="0" w:space="0" w:color="auto"/>
            <w:bottom w:val="none" w:sz="0" w:space="0" w:color="auto"/>
            <w:right w:val="none" w:sz="0" w:space="0" w:color="auto"/>
          </w:divBdr>
        </w:div>
      </w:divsChild>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947541027">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531453335">
      <w:bodyDiv w:val="1"/>
      <w:marLeft w:val="0"/>
      <w:marRight w:val="0"/>
      <w:marTop w:val="0"/>
      <w:marBottom w:val="0"/>
      <w:divBdr>
        <w:top w:val="none" w:sz="0" w:space="0" w:color="auto"/>
        <w:left w:val="none" w:sz="0" w:space="0" w:color="auto"/>
        <w:bottom w:val="none" w:sz="0" w:space="0" w:color="auto"/>
        <w:right w:val="none" w:sz="0" w:space="0" w:color="auto"/>
      </w:divBdr>
    </w:div>
    <w:div w:id="1727944759">
      <w:bodyDiv w:val="1"/>
      <w:marLeft w:val="0"/>
      <w:marRight w:val="0"/>
      <w:marTop w:val="0"/>
      <w:marBottom w:val="0"/>
      <w:divBdr>
        <w:top w:val="none" w:sz="0" w:space="0" w:color="auto"/>
        <w:left w:val="none" w:sz="0" w:space="0" w:color="auto"/>
        <w:bottom w:val="none" w:sz="0" w:space="0" w:color="auto"/>
        <w:right w:val="none" w:sz="0" w:space="0" w:color="auto"/>
      </w:divBdr>
    </w:div>
    <w:div w:id="1831217417">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60C3-3723-4553-844D-2F6F7D3C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Heap</dc:creator>
  <cp:keywords/>
  <dc:description/>
  <cp:lastModifiedBy>HEAP Rachel</cp:lastModifiedBy>
  <cp:revision>2</cp:revision>
  <dcterms:created xsi:type="dcterms:W3CDTF">2024-02-29T17:13:00Z</dcterms:created>
  <dcterms:modified xsi:type="dcterms:W3CDTF">2024-02-29T17:13:00Z</dcterms:modified>
</cp:coreProperties>
</file>